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7DB" w:rsidRPr="005727DB" w:rsidRDefault="005727DB" w:rsidP="003105BA">
      <w:pPr>
        <w:pStyle w:val="ListParagraph"/>
        <w:numPr>
          <w:ilvl w:val="0"/>
          <w:numId w:val="1"/>
        </w:numPr>
        <w:autoSpaceDE w:val="0"/>
        <w:autoSpaceDN w:val="0"/>
        <w:adjustRightInd w:val="0"/>
        <w:spacing w:after="0" w:line="240" w:lineRule="auto"/>
        <w:ind w:left="360"/>
        <w:rPr>
          <w:rFonts w:ascii="Calibri" w:hAnsi="Calibri" w:cs="Calibri"/>
          <w:sz w:val="24"/>
          <w:szCs w:val="24"/>
        </w:rPr>
      </w:pPr>
      <w:r w:rsidRPr="005727DB">
        <w:rPr>
          <w:rFonts w:ascii="Calibri" w:hAnsi="Calibri" w:cs="Calibri"/>
          <w:sz w:val="24"/>
          <w:szCs w:val="24"/>
        </w:rPr>
        <w:t>Title of position:</w:t>
      </w:r>
      <w:r>
        <w:rPr>
          <w:rFonts w:ascii="Calibri" w:hAnsi="Calibri" w:cs="Calibri"/>
          <w:sz w:val="24"/>
          <w:szCs w:val="24"/>
        </w:rPr>
        <w:t xml:space="preserve">  Full time Faculty – Engineering (Replacement)</w:t>
      </w:r>
    </w:p>
    <w:p w:rsidR="003105BA" w:rsidRPr="003105BA" w:rsidRDefault="005727DB" w:rsidP="003105BA">
      <w:pPr>
        <w:pStyle w:val="ListParagraph"/>
        <w:numPr>
          <w:ilvl w:val="0"/>
          <w:numId w:val="1"/>
        </w:numPr>
        <w:autoSpaceDE w:val="0"/>
        <w:autoSpaceDN w:val="0"/>
        <w:adjustRightInd w:val="0"/>
        <w:spacing w:after="0" w:line="240" w:lineRule="auto"/>
        <w:ind w:left="360"/>
        <w:rPr>
          <w:rFonts w:ascii="Calibri" w:hAnsi="Calibri" w:cs="Calibri"/>
          <w:sz w:val="24"/>
          <w:szCs w:val="24"/>
        </w:rPr>
      </w:pPr>
      <w:r>
        <w:t>The minimum qualifications for engineering is a master’s degree in any</w:t>
      </w:r>
      <w:r w:rsidR="003105BA">
        <w:t xml:space="preserve"> field of engineering. The table </w:t>
      </w:r>
      <w:r>
        <w:t xml:space="preserve">shows the engineering courses currently offered at </w:t>
      </w:r>
      <w:proofErr w:type="spellStart"/>
      <w:r>
        <w:t>Cañada</w:t>
      </w:r>
      <w:proofErr w:type="spellEnd"/>
      <w:r>
        <w:t xml:space="preserve"> </w:t>
      </w:r>
      <w:r w:rsidR="003105BA">
        <w:t>College.</w:t>
      </w:r>
      <w:r>
        <w:t xml:space="preserve"> </w:t>
      </w:r>
    </w:p>
    <w:tbl>
      <w:tblPr>
        <w:tblStyle w:val="TableGrid"/>
        <w:tblW w:w="894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45"/>
        <w:gridCol w:w="2070"/>
        <w:gridCol w:w="2194"/>
      </w:tblGrid>
      <w:tr w:rsidR="003105BA" w:rsidRPr="003105BA" w:rsidTr="001D0976">
        <w:tc>
          <w:tcPr>
            <w:tcW w:w="1935" w:type="dxa"/>
          </w:tcPr>
          <w:p w:rsidR="003105BA" w:rsidRPr="003105BA" w:rsidRDefault="003105BA" w:rsidP="003105BA">
            <w:pPr>
              <w:pStyle w:val="ListParagraph"/>
              <w:autoSpaceDE w:val="0"/>
              <w:autoSpaceDN w:val="0"/>
              <w:adjustRightInd w:val="0"/>
              <w:ind w:left="360"/>
            </w:pPr>
            <w:r w:rsidRPr="003105BA">
              <w:t xml:space="preserve">ENGR 100 </w:t>
            </w:r>
          </w:p>
        </w:tc>
        <w:tc>
          <w:tcPr>
            <w:tcW w:w="2745" w:type="dxa"/>
          </w:tcPr>
          <w:p w:rsidR="003105BA" w:rsidRPr="003105BA" w:rsidRDefault="003105BA" w:rsidP="003105BA">
            <w:pPr>
              <w:pStyle w:val="ListParagraph"/>
              <w:autoSpaceDE w:val="0"/>
              <w:autoSpaceDN w:val="0"/>
              <w:adjustRightInd w:val="0"/>
              <w:ind w:left="360"/>
              <w:rPr>
                <w:rFonts w:ascii="Calibri" w:hAnsi="Calibri" w:cs="Calibri"/>
                <w:sz w:val="24"/>
                <w:szCs w:val="24"/>
              </w:rPr>
            </w:pPr>
            <w:r w:rsidRPr="003105BA">
              <w:t>Intro to Engineering</w:t>
            </w:r>
          </w:p>
        </w:tc>
        <w:tc>
          <w:tcPr>
            <w:tcW w:w="2070" w:type="dxa"/>
          </w:tcPr>
          <w:p w:rsidR="003105BA" w:rsidRPr="003105BA" w:rsidRDefault="003105BA" w:rsidP="003105BA">
            <w:pPr>
              <w:pStyle w:val="ListParagraph"/>
              <w:autoSpaceDE w:val="0"/>
              <w:autoSpaceDN w:val="0"/>
              <w:adjustRightInd w:val="0"/>
              <w:ind w:left="360"/>
            </w:pPr>
            <w:r w:rsidRPr="003105BA">
              <w:t>ENGR 230</w:t>
            </w:r>
          </w:p>
        </w:tc>
        <w:tc>
          <w:tcPr>
            <w:tcW w:w="2194" w:type="dxa"/>
          </w:tcPr>
          <w:p w:rsidR="003105BA" w:rsidRPr="003105BA" w:rsidRDefault="003105BA" w:rsidP="003105BA">
            <w:pPr>
              <w:pStyle w:val="ListParagraph"/>
              <w:autoSpaceDE w:val="0"/>
              <w:autoSpaceDN w:val="0"/>
              <w:adjustRightInd w:val="0"/>
              <w:ind w:left="360"/>
              <w:rPr>
                <w:rFonts w:ascii="Calibri" w:hAnsi="Calibri" w:cs="Calibri"/>
                <w:sz w:val="24"/>
                <w:szCs w:val="24"/>
              </w:rPr>
            </w:pPr>
            <w:r w:rsidRPr="003105BA">
              <w:t>Statics</w:t>
            </w:r>
          </w:p>
        </w:tc>
      </w:tr>
      <w:tr w:rsidR="003105BA" w:rsidRPr="003105BA" w:rsidTr="001D0976">
        <w:tc>
          <w:tcPr>
            <w:tcW w:w="1935" w:type="dxa"/>
          </w:tcPr>
          <w:p w:rsidR="003105BA" w:rsidRPr="003105BA" w:rsidRDefault="003105BA" w:rsidP="003105BA">
            <w:pPr>
              <w:pStyle w:val="ListParagraph"/>
              <w:autoSpaceDE w:val="0"/>
              <w:autoSpaceDN w:val="0"/>
              <w:adjustRightInd w:val="0"/>
              <w:ind w:left="360"/>
            </w:pPr>
            <w:r w:rsidRPr="003105BA">
              <w:t>ENGR 111</w:t>
            </w:r>
          </w:p>
        </w:tc>
        <w:tc>
          <w:tcPr>
            <w:tcW w:w="2745" w:type="dxa"/>
          </w:tcPr>
          <w:p w:rsidR="003105BA" w:rsidRPr="003105BA" w:rsidRDefault="003105BA" w:rsidP="003105BA">
            <w:pPr>
              <w:pStyle w:val="ListParagraph"/>
              <w:autoSpaceDE w:val="0"/>
              <w:autoSpaceDN w:val="0"/>
              <w:adjustRightInd w:val="0"/>
              <w:ind w:left="360"/>
              <w:rPr>
                <w:rFonts w:ascii="Calibri" w:hAnsi="Calibri" w:cs="Calibri"/>
                <w:sz w:val="24"/>
                <w:szCs w:val="24"/>
              </w:rPr>
            </w:pPr>
            <w:r w:rsidRPr="003105BA">
              <w:t>Surveying</w:t>
            </w:r>
          </w:p>
        </w:tc>
        <w:tc>
          <w:tcPr>
            <w:tcW w:w="2070" w:type="dxa"/>
          </w:tcPr>
          <w:p w:rsidR="003105BA" w:rsidRPr="003105BA" w:rsidRDefault="003105BA" w:rsidP="003105BA">
            <w:pPr>
              <w:pStyle w:val="ListParagraph"/>
              <w:autoSpaceDE w:val="0"/>
              <w:autoSpaceDN w:val="0"/>
              <w:adjustRightInd w:val="0"/>
              <w:ind w:left="360"/>
            </w:pPr>
            <w:r w:rsidRPr="003105BA">
              <w:t xml:space="preserve">ENGR 240 </w:t>
            </w:r>
          </w:p>
        </w:tc>
        <w:tc>
          <w:tcPr>
            <w:tcW w:w="2194" w:type="dxa"/>
          </w:tcPr>
          <w:p w:rsidR="003105BA" w:rsidRPr="003105BA" w:rsidRDefault="003105BA" w:rsidP="003105BA">
            <w:pPr>
              <w:pStyle w:val="ListParagraph"/>
              <w:autoSpaceDE w:val="0"/>
              <w:autoSpaceDN w:val="0"/>
              <w:adjustRightInd w:val="0"/>
              <w:ind w:left="360"/>
              <w:rPr>
                <w:rFonts w:ascii="Calibri" w:hAnsi="Calibri" w:cs="Calibri"/>
                <w:sz w:val="24"/>
                <w:szCs w:val="24"/>
              </w:rPr>
            </w:pPr>
            <w:r w:rsidRPr="003105BA">
              <w:t>Dynamics</w:t>
            </w:r>
          </w:p>
        </w:tc>
      </w:tr>
      <w:tr w:rsidR="003105BA" w:rsidRPr="003105BA" w:rsidTr="001D0976">
        <w:tc>
          <w:tcPr>
            <w:tcW w:w="1935" w:type="dxa"/>
          </w:tcPr>
          <w:p w:rsidR="003105BA" w:rsidRPr="003105BA" w:rsidRDefault="003105BA" w:rsidP="003105BA">
            <w:pPr>
              <w:pStyle w:val="ListParagraph"/>
              <w:autoSpaceDE w:val="0"/>
              <w:autoSpaceDN w:val="0"/>
              <w:adjustRightInd w:val="0"/>
              <w:ind w:left="360"/>
            </w:pPr>
            <w:r w:rsidRPr="003105BA">
              <w:t xml:space="preserve">ENGR 250 </w:t>
            </w:r>
          </w:p>
        </w:tc>
        <w:tc>
          <w:tcPr>
            <w:tcW w:w="2745" w:type="dxa"/>
          </w:tcPr>
          <w:p w:rsidR="003105BA" w:rsidRPr="003105BA" w:rsidRDefault="003105BA" w:rsidP="003105BA">
            <w:pPr>
              <w:pStyle w:val="ListParagraph"/>
              <w:autoSpaceDE w:val="0"/>
              <w:autoSpaceDN w:val="0"/>
              <w:adjustRightInd w:val="0"/>
              <w:ind w:left="360"/>
              <w:rPr>
                <w:rFonts w:ascii="Calibri" w:hAnsi="Calibri" w:cs="Calibri"/>
                <w:sz w:val="24"/>
                <w:szCs w:val="24"/>
              </w:rPr>
            </w:pPr>
            <w:r w:rsidRPr="003105BA">
              <w:t>Engineering Graphics</w:t>
            </w:r>
          </w:p>
        </w:tc>
        <w:tc>
          <w:tcPr>
            <w:tcW w:w="2070" w:type="dxa"/>
          </w:tcPr>
          <w:p w:rsidR="003105BA" w:rsidRPr="003105BA" w:rsidRDefault="003105BA" w:rsidP="003105BA">
            <w:pPr>
              <w:pStyle w:val="ListParagraph"/>
              <w:autoSpaceDE w:val="0"/>
              <w:autoSpaceDN w:val="0"/>
              <w:adjustRightInd w:val="0"/>
              <w:ind w:left="360"/>
            </w:pPr>
            <w:r w:rsidRPr="003105BA">
              <w:t xml:space="preserve">ENGR 260/261 </w:t>
            </w:r>
          </w:p>
        </w:tc>
        <w:tc>
          <w:tcPr>
            <w:tcW w:w="2194" w:type="dxa"/>
          </w:tcPr>
          <w:p w:rsidR="003105BA" w:rsidRPr="003105BA" w:rsidRDefault="003105BA" w:rsidP="003105BA">
            <w:pPr>
              <w:pStyle w:val="ListParagraph"/>
              <w:autoSpaceDE w:val="0"/>
              <w:autoSpaceDN w:val="0"/>
              <w:adjustRightInd w:val="0"/>
              <w:ind w:left="360"/>
              <w:rPr>
                <w:rFonts w:ascii="Calibri" w:hAnsi="Calibri" w:cs="Calibri"/>
                <w:sz w:val="24"/>
                <w:szCs w:val="24"/>
              </w:rPr>
            </w:pPr>
            <w:r w:rsidRPr="003105BA">
              <w:t>Circuits</w:t>
            </w:r>
          </w:p>
        </w:tc>
      </w:tr>
      <w:tr w:rsidR="003105BA" w:rsidRPr="003105BA" w:rsidTr="001D0976">
        <w:tc>
          <w:tcPr>
            <w:tcW w:w="1935" w:type="dxa"/>
          </w:tcPr>
          <w:p w:rsidR="003105BA" w:rsidRPr="003105BA" w:rsidRDefault="003105BA" w:rsidP="003105BA">
            <w:pPr>
              <w:pStyle w:val="ListParagraph"/>
              <w:autoSpaceDE w:val="0"/>
              <w:autoSpaceDN w:val="0"/>
              <w:adjustRightInd w:val="0"/>
              <w:ind w:left="360"/>
            </w:pPr>
            <w:r w:rsidRPr="003105BA">
              <w:t>ENGR 215</w:t>
            </w:r>
          </w:p>
        </w:tc>
        <w:tc>
          <w:tcPr>
            <w:tcW w:w="2745" w:type="dxa"/>
          </w:tcPr>
          <w:p w:rsidR="003105BA" w:rsidRPr="003105BA" w:rsidRDefault="003105BA" w:rsidP="003105BA">
            <w:pPr>
              <w:pStyle w:val="ListParagraph"/>
              <w:autoSpaceDE w:val="0"/>
              <w:autoSpaceDN w:val="0"/>
              <w:adjustRightInd w:val="0"/>
              <w:ind w:left="360"/>
              <w:rPr>
                <w:rFonts w:ascii="Calibri" w:hAnsi="Calibri" w:cs="Calibri"/>
                <w:sz w:val="24"/>
                <w:szCs w:val="24"/>
              </w:rPr>
            </w:pPr>
            <w:r w:rsidRPr="003105BA">
              <w:t>MATLAB</w:t>
            </w:r>
          </w:p>
        </w:tc>
        <w:tc>
          <w:tcPr>
            <w:tcW w:w="2070" w:type="dxa"/>
          </w:tcPr>
          <w:p w:rsidR="003105BA" w:rsidRPr="003105BA" w:rsidRDefault="003105BA" w:rsidP="003105BA">
            <w:pPr>
              <w:pStyle w:val="ListParagraph"/>
              <w:autoSpaceDE w:val="0"/>
              <w:autoSpaceDN w:val="0"/>
              <w:adjustRightInd w:val="0"/>
              <w:ind w:left="360"/>
            </w:pPr>
            <w:r w:rsidRPr="003105BA">
              <w:t>ENGR 270</w:t>
            </w:r>
          </w:p>
        </w:tc>
        <w:tc>
          <w:tcPr>
            <w:tcW w:w="2194" w:type="dxa"/>
          </w:tcPr>
          <w:p w:rsidR="003105BA" w:rsidRPr="003105BA" w:rsidRDefault="003105BA" w:rsidP="003105BA">
            <w:pPr>
              <w:pStyle w:val="ListParagraph"/>
              <w:autoSpaceDE w:val="0"/>
              <w:autoSpaceDN w:val="0"/>
              <w:adjustRightInd w:val="0"/>
              <w:ind w:left="360"/>
              <w:rPr>
                <w:rFonts w:ascii="Calibri" w:hAnsi="Calibri" w:cs="Calibri"/>
                <w:sz w:val="24"/>
                <w:szCs w:val="24"/>
              </w:rPr>
            </w:pPr>
            <w:r w:rsidRPr="003105BA">
              <w:t>Materials Science</w:t>
            </w:r>
          </w:p>
        </w:tc>
      </w:tr>
    </w:tbl>
    <w:p w:rsidR="005727DB" w:rsidRPr="001D0976" w:rsidRDefault="001D0976" w:rsidP="001D0976">
      <w:pPr>
        <w:pStyle w:val="ListParagraph"/>
        <w:numPr>
          <w:ilvl w:val="0"/>
          <w:numId w:val="1"/>
        </w:numPr>
        <w:autoSpaceDE w:val="0"/>
        <w:autoSpaceDN w:val="0"/>
        <w:adjustRightInd w:val="0"/>
        <w:spacing w:after="0" w:line="240" w:lineRule="auto"/>
        <w:ind w:left="360"/>
        <w:rPr>
          <w:rFonts w:ascii="Calibri" w:hAnsi="Calibri" w:cs="Calibri"/>
          <w:sz w:val="24"/>
          <w:szCs w:val="24"/>
        </w:rPr>
      </w:pPr>
      <w:r w:rsidRPr="001D0976">
        <w:rPr>
          <w:rFonts w:ascii="Calibri" w:hAnsi="Calibri" w:cs="Calibri"/>
          <w:sz w:val="24"/>
          <w:szCs w:val="24"/>
        </w:rPr>
        <w:t>There are no proposed changes to the pr</w:t>
      </w:r>
      <w:r>
        <w:rPr>
          <w:rFonts w:ascii="Calibri" w:hAnsi="Calibri" w:cs="Calibri"/>
          <w:sz w:val="24"/>
          <w:szCs w:val="24"/>
        </w:rPr>
        <w:t>ogram at this time.</w:t>
      </w:r>
    </w:p>
    <w:p w:rsidR="005727DB" w:rsidRPr="001D0976" w:rsidRDefault="005727DB" w:rsidP="001D0976">
      <w:pPr>
        <w:pStyle w:val="ListParagraph"/>
        <w:numPr>
          <w:ilvl w:val="0"/>
          <w:numId w:val="1"/>
        </w:numPr>
        <w:autoSpaceDE w:val="0"/>
        <w:autoSpaceDN w:val="0"/>
        <w:adjustRightInd w:val="0"/>
        <w:spacing w:after="0" w:line="240" w:lineRule="auto"/>
        <w:ind w:left="360"/>
        <w:rPr>
          <w:rFonts w:ascii="Calibri" w:hAnsi="Calibri" w:cs="Calibri"/>
          <w:sz w:val="24"/>
          <w:szCs w:val="24"/>
        </w:rPr>
      </w:pPr>
      <w:r w:rsidRPr="001D0976">
        <w:rPr>
          <w:rFonts w:ascii="Calibri" w:hAnsi="Calibri" w:cs="Calibri"/>
          <w:sz w:val="24"/>
          <w:szCs w:val="24"/>
        </w:rPr>
        <w:t>Since Dr. Amelito Enrique</w:t>
      </w:r>
      <w:r w:rsidR="0086706D">
        <w:rPr>
          <w:rFonts w:ascii="Calibri" w:hAnsi="Calibri" w:cs="Calibri"/>
          <w:sz w:val="24"/>
          <w:szCs w:val="24"/>
        </w:rPr>
        <w:t>z</w:t>
      </w:r>
      <w:r w:rsidRPr="001D0976">
        <w:rPr>
          <w:rFonts w:ascii="Calibri" w:hAnsi="Calibri" w:cs="Calibri"/>
          <w:sz w:val="24"/>
          <w:szCs w:val="24"/>
        </w:rPr>
        <w:t xml:space="preserve"> Retired (</w:t>
      </w:r>
      <w:r w:rsidR="0086706D">
        <w:rPr>
          <w:rFonts w:ascii="Calibri" w:hAnsi="Calibri" w:cs="Calibri"/>
          <w:sz w:val="24"/>
          <w:szCs w:val="24"/>
        </w:rPr>
        <w:t>Sept</w:t>
      </w:r>
      <w:r w:rsidRPr="001D0976">
        <w:rPr>
          <w:rFonts w:ascii="Calibri" w:hAnsi="Calibri" w:cs="Calibri"/>
          <w:sz w:val="24"/>
          <w:szCs w:val="24"/>
        </w:rPr>
        <w:t xml:space="preserve"> 2018) and Dr. Ch</w:t>
      </w:r>
      <w:r w:rsidR="0086706D">
        <w:rPr>
          <w:rFonts w:ascii="Calibri" w:hAnsi="Calibri" w:cs="Calibri"/>
          <w:sz w:val="24"/>
          <w:szCs w:val="24"/>
        </w:rPr>
        <w:t>er</w:t>
      </w:r>
      <w:r w:rsidRPr="001D0976">
        <w:rPr>
          <w:rFonts w:ascii="Calibri" w:hAnsi="Calibri" w:cs="Calibri"/>
          <w:sz w:val="24"/>
          <w:szCs w:val="24"/>
        </w:rPr>
        <w:t>i Markt Res</w:t>
      </w:r>
      <w:r w:rsidR="00454756" w:rsidRPr="001D0976">
        <w:rPr>
          <w:rFonts w:ascii="Calibri" w:hAnsi="Calibri" w:cs="Calibri"/>
          <w:sz w:val="24"/>
          <w:szCs w:val="24"/>
        </w:rPr>
        <w:t>igned (</w:t>
      </w:r>
      <w:proofErr w:type="gramStart"/>
      <w:r w:rsidR="00454756" w:rsidRPr="001D0976">
        <w:rPr>
          <w:rFonts w:ascii="Calibri" w:hAnsi="Calibri" w:cs="Calibri"/>
          <w:sz w:val="24"/>
          <w:szCs w:val="24"/>
        </w:rPr>
        <w:t>Oct  2018</w:t>
      </w:r>
      <w:proofErr w:type="gramEnd"/>
      <w:r w:rsidR="00454756" w:rsidRPr="001D0976">
        <w:rPr>
          <w:rFonts w:ascii="Calibri" w:hAnsi="Calibri" w:cs="Calibri"/>
          <w:sz w:val="24"/>
          <w:szCs w:val="24"/>
        </w:rPr>
        <w:t>)  there are no</w:t>
      </w:r>
      <w:r w:rsidRPr="001D0976">
        <w:rPr>
          <w:rFonts w:ascii="Calibri" w:hAnsi="Calibri" w:cs="Calibri"/>
          <w:sz w:val="24"/>
          <w:szCs w:val="24"/>
        </w:rPr>
        <w:t xml:space="preserve"> fulltime engineering Faculty at </w:t>
      </w:r>
      <w:proofErr w:type="spellStart"/>
      <w:r w:rsidRPr="001D0976">
        <w:rPr>
          <w:rFonts w:ascii="Calibri" w:hAnsi="Calibri" w:cs="Calibri"/>
          <w:sz w:val="24"/>
          <w:szCs w:val="24"/>
        </w:rPr>
        <w:t>Ca</w:t>
      </w:r>
      <w:r w:rsidR="00454756" w:rsidRPr="001D0976">
        <w:rPr>
          <w:rFonts w:ascii="Calibri" w:hAnsi="Calibri" w:cs="Calibri"/>
          <w:sz w:val="24"/>
          <w:szCs w:val="24"/>
        </w:rPr>
        <w:t>ñ</w:t>
      </w:r>
      <w:r w:rsidRPr="001D0976">
        <w:rPr>
          <w:rFonts w:ascii="Calibri" w:hAnsi="Calibri" w:cs="Calibri"/>
          <w:sz w:val="24"/>
          <w:szCs w:val="24"/>
        </w:rPr>
        <w:t>ada</w:t>
      </w:r>
      <w:proofErr w:type="spellEnd"/>
      <w:r w:rsidRPr="001D0976">
        <w:rPr>
          <w:rFonts w:ascii="Calibri" w:hAnsi="Calibri" w:cs="Calibri"/>
          <w:sz w:val="24"/>
          <w:szCs w:val="24"/>
        </w:rPr>
        <w:t>.</w:t>
      </w:r>
    </w:p>
    <w:p w:rsidR="005727DB" w:rsidRPr="001D0976" w:rsidRDefault="00A00464" w:rsidP="001D0976">
      <w:pPr>
        <w:pStyle w:val="ListParagraph"/>
        <w:numPr>
          <w:ilvl w:val="0"/>
          <w:numId w:val="1"/>
        </w:numPr>
        <w:autoSpaceDE w:val="0"/>
        <w:autoSpaceDN w:val="0"/>
        <w:adjustRightInd w:val="0"/>
        <w:spacing w:after="0" w:line="240" w:lineRule="auto"/>
        <w:ind w:left="360"/>
        <w:rPr>
          <w:rFonts w:ascii="Calibri" w:hAnsi="Calibri" w:cs="Calibri"/>
          <w:sz w:val="24"/>
          <w:szCs w:val="24"/>
        </w:rPr>
      </w:pPr>
      <w:r w:rsidRPr="001D0976">
        <w:rPr>
          <w:rFonts w:ascii="Calibri" w:hAnsi="Calibri" w:cs="Calibri"/>
          <w:sz w:val="24"/>
          <w:szCs w:val="24"/>
        </w:rPr>
        <w:t xml:space="preserve">There are no special regulations that require a full time faculty member. </w:t>
      </w:r>
    </w:p>
    <w:p w:rsidR="00454756" w:rsidRPr="007F580A" w:rsidRDefault="005727DB" w:rsidP="005727DB">
      <w:pPr>
        <w:pStyle w:val="ListParagraph"/>
        <w:numPr>
          <w:ilvl w:val="0"/>
          <w:numId w:val="1"/>
        </w:numPr>
        <w:autoSpaceDE w:val="0"/>
        <w:autoSpaceDN w:val="0"/>
        <w:adjustRightInd w:val="0"/>
        <w:spacing w:after="0" w:line="240" w:lineRule="auto"/>
        <w:ind w:left="360"/>
        <w:rPr>
          <w:rFonts w:ascii="Calibri" w:hAnsi="Calibri" w:cs="Calibri"/>
          <w:sz w:val="24"/>
          <w:szCs w:val="24"/>
        </w:rPr>
      </w:pPr>
      <w:r w:rsidRPr="001D0976">
        <w:rPr>
          <w:rFonts w:ascii="Calibri" w:hAnsi="Calibri" w:cs="Calibri"/>
          <w:sz w:val="24"/>
          <w:szCs w:val="24"/>
        </w:rPr>
        <w:t xml:space="preserve">How does the position support the goals of the Educational Master Plan or other </w:t>
      </w:r>
      <w:r w:rsidR="00454756" w:rsidRPr="001D0976">
        <w:rPr>
          <w:rFonts w:ascii="Calibri" w:hAnsi="Calibri" w:cs="Calibri"/>
          <w:sz w:val="24"/>
          <w:szCs w:val="24"/>
        </w:rPr>
        <w:t>strategic</w:t>
      </w:r>
      <w:r w:rsidR="007F580A">
        <w:rPr>
          <w:rFonts w:ascii="Calibri" w:hAnsi="Calibri" w:cs="Calibri"/>
          <w:sz w:val="24"/>
          <w:szCs w:val="24"/>
        </w:rPr>
        <w:t xml:space="preserve"> </w:t>
      </w:r>
      <w:r w:rsidRPr="007F580A">
        <w:rPr>
          <w:rFonts w:ascii="Calibri" w:hAnsi="Calibri" w:cs="Calibri"/>
          <w:sz w:val="24"/>
          <w:szCs w:val="24"/>
        </w:rPr>
        <w:t>college plans?</w:t>
      </w:r>
    </w:p>
    <w:p w:rsidR="00454756" w:rsidRPr="007F580A" w:rsidRDefault="00454756" w:rsidP="007F580A">
      <w:pPr>
        <w:ind w:left="720"/>
      </w:pPr>
      <w:r>
        <w:t>The requested full-time replacement position is in alignment with the College Strategic Direction of “Teaching and Learning” and “Completion” by equipping students with the knowledge and providing the resources they need to reach their educational goals. Moreover, a full-time faculty in Engineering who has recent industry experience will be able to provide leadership towards the College’s third Strategic Direction of “Community Connections” by building and strengthening collaborative relationships and partnerships with local industry, especially in the areas of technology and innovation.</w:t>
      </w:r>
      <w:r w:rsidR="00282017">
        <w:t xml:space="preserve"> A strong Engineering program also supports the fourth Strategic Direction of being “Global and Sustainable,” as Engineering is a priority for many international students. </w:t>
      </w:r>
    </w:p>
    <w:p w:rsidR="005727DB" w:rsidRPr="007F580A" w:rsidRDefault="005727DB" w:rsidP="007F580A">
      <w:pPr>
        <w:pStyle w:val="ListParagraph"/>
        <w:numPr>
          <w:ilvl w:val="0"/>
          <w:numId w:val="1"/>
        </w:numPr>
        <w:autoSpaceDE w:val="0"/>
        <w:autoSpaceDN w:val="0"/>
        <w:adjustRightInd w:val="0"/>
        <w:spacing w:after="0" w:line="240" w:lineRule="auto"/>
        <w:ind w:left="360"/>
        <w:rPr>
          <w:rFonts w:ascii="Calibri" w:hAnsi="Calibri" w:cs="Calibri"/>
          <w:sz w:val="24"/>
          <w:szCs w:val="24"/>
        </w:rPr>
      </w:pPr>
      <w:r w:rsidRPr="007F580A">
        <w:rPr>
          <w:rFonts w:ascii="Calibri" w:hAnsi="Calibri" w:cs="Calibri"/>
          <w:sz w:val="24"/>
          <w:szCs w:val="24"/>
        </w:rPr>
        <w:t>Describe program review or other data that indicate a demonstrated program/service need.</w:t>
      </w:r>
    </w:p>
    <w:p w:rsidR="007F580A" w:rsidRPr="007F580A" w:rsidRDefault="007F580A" w:rsidP="007F580A">
      <w:pPr>
        <w:pStyle w:val="ListParagraph"/>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FTEF has fallen recently as </w:t>
      </w:r>
      <w:r w:rsidR="005E50A5">
        <w:rPr>
          <w:rFonts w:ascii="Calibri" w:hAnsi="Calibri" w:cs="Calibri"/>
          <w:sz w:val="24"/>
          <w:szCs w:val="24"/>
        </w:rPr>
        <w:t xml:space="preserve">it </w:t>
      </w:r>
      <w:r>
        <w:rPr>
          <w:rFonts w:ascii="Calibri" w:hAnsi="Calibri" w:cs="Calibri"/>
          <w:sz w:val="24"/>
          <w:szCs w:val="24"/>
        </w:rPr>
        <w:t>has</w:t>
      </w:r>
      <w:r w:rsidR="005E50A5">
        <w:rPr>
          <w:rFonts w:ascii="Calibri" w:hAnsi="Calibri" w:cs="Calibri"/>
          <w:sz w:val="24"/>
          <w:szCs w:val="24"/>
        </w:rPr>
        <w:t xml:space="preserve"> for</w:t>
      </w:r>
      <w:r>
        <w:rPr>
          <w:rFonts w:ascii="Calibri" w:hAnsi="Calibri" w:cs="Calibri"/>
          <w:sz w:val="24"/>
          <w:szCs w:val="24"/>
        </w:rPr>
        <w:t xml:space="preserve"> the college as a whole.</w:t>
      </w:r>
      <w:r w:rsidR="005E50A5">
        <w:rPr>
          <w:rFonts w:ascii="Calibri" w:hAnsi="Calibri" w:cs="Calibri"/>
          <w:sz w:val="24"/>
          <w:szCs w:val="24"/>
        </w:rPr>
        <w:t xml:space="preserve"> However, there is still interest in the engineering program.</w:t>
      </w:r>
    </w:p>
    <w:p w:rsidR="00C21B72" w:rsidRDefault="00C21B72" w:rsidP="005727DB">
      <w:pPr>
        <w:rPr>
          <w:rFonts w:ascii="Calibri" w:hAnsi="Calibri" w:cs="Calibri"/>
          <w:sz w:val="24"/>
          <w:szCs w:val="24"/>
        </w:rPr>
      </w:pPr>
      <w:r w:rsidRPr="00C21B72">
        <w:rPr>
          <w:rFonts w:ascii="Calibri" w:hAnsi="Calibri" w:cs="Calibri"/>
          <w:noProof/>
          <w:sz w:val="24"/>
          <w:szCs w:val="24"/>
        </w:rPr>
        <w:drawing>
          <wp:inline distT="0" distB="0" distL="0" distR="0">
            <wp:extent cx="5750169" cy="11284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9888" cy="1177404"/>
                    </a:xfrm>
                    <a:prstGeom prst="rect">
                      <a:avLst/>
                    </a:prstGeom>
                    <a:noFill/>
                    <a:ln>
                      <a:noFill/>
                    </a:ln>
                  </pic:spPr>
                </pic:pic>
              </a:graphicData>
            </a:graphic>
          </wp:inline>
        </w:drawing>
      </w:r>
    </w:p>
    <w:p w:rsidR="007F580A" w:rsidRDefault="007F580A" w:rsidP="00420D41">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8. </w:t>
      </w:r>
      <w:r w:rsidR="00420D41">
        <w:rPr>
          <w:rFonts w:ascii="Calibri" w:hAnsi="Calibri" w:cs="Calibri"/>
          <w:sz w:val="24"/>
          <w:szCs w:val="24"/>
        </w:rPr>
        <w:t xml:space="preserve">The presence of a strong engineering program is a significant attractor of students to </w:t>
      </w:r>
      <w:proofErr w:type="spellStart"/>
      <w:r w:rsidR="00420D41">
        <w:rPr>
          <w:rFonts w:ascii="Calibri" w:hAnsi="Calibri" w:cs="Calibri"/>
          <w:sz w:val="24"/>
          <w:szCs w:val="24"/>
        </w:rPr>
        <w:t>Ca</w:t>
      </w:r>
      <w:r w:rsidR="005E50A5">
        <w:rPr>
          <w:rFonts w:ascii="Calibri" w:hAnsi="Calibri" w:cs="Calibri"/>
          <w:sz w:val="24"/>
          <w:szCs w:val="24"/>
        </w:rPr>
        <w:t>ñada</w:t>
      </w:r>
      <w:proofErr w:type="spellEnd"/>
      <w:r w:rsidR="005E50A5">
        <w:rPr>
          <w:rFonts w:ascii="Calibri" w:hAnsi="Calibri" w:cs="Calibri"/>
          <w:sz w:val="24"/>
          <w:szCs w:val="24"/>
        </w:rPr>
        <w:t xml:space="preserve"> </w:t>
      </w:r>
      <w:proofErr w:type="gramStart"/>
      <w:r w:rsidR="005E50A5">
        <w:rPr>
          <w:rFonts w:ascii="Calibri" w:hAnsi="Calibri" w:cs="Calibri"/>
          <w:sz w:val="24"/>
          <w:szCs w:val="24"/>
        </w:rPr>
        <w:t>college</w:t>
      </w:r>
      <w:proofErr w:type="gramEnd"/>
      <w:r w:rsidR="00282017">
        <w:rPr>
          <w:rFonts w:ascii="Calibri" w:hAnsi="Calibri" w:cs="Calibri"/>
          <w:sz w:val="24"/>
          <w:szCs w:val="24"/>
        </w:rPr>
        <w:t>, especially international students</w:t>
      </w:r>
      <w:r w:rsidR="005E50A5">
        <w:rPr>
          <w:rFonts w:ascii="Calibri" w:hAnsi="Calibri" w:cs="Calibri"/>
          <w:sz w:val="24"/>
          <w:szCs w:val="24"/>
        </w:rPr>
        <w:t>.</w:t>
      </w:r>
      <w:r w:rsidR="00282017">
        <w:rPr>
          <w:rFonts w:ascii="Calibri" w:hAnsi="Calibri" w:cs="Calibri"/>
          <w:sz w:val="24"/>
          <w:szCs w:val="24"/>
        </w:rPr>
        <w:t xml:space="preserve"> </w:t>
      </w:r>
      <w:r w:rsidR="00420D41">
        <w:rPr>
          <w:rFonts w:ascii="Calibri" w:hAnsi="Calibri" w:cs="Calibri"/>
          <w:sz w:val="24"/>
          <w:szCs w:val="24"/>
        </w:rPr>
        <w:t xml:space="preserve">The engineering </w:t>
      </w:r>
      <w:r w:rsidR="00287176">
        <w:rPr>
          <w:rFonts w:ascii="Calibri" w:hAnsi="Calibri" w:cs="Calibri"/>
          <w:sz w:val="24"/>
          <w:szCs w:val="24"/>
        </w:rPr>
        <w:t xml:space="preserve">program </w:t>
      </w:r>
      <w:r w:rsidR="005E50A5">
        <w:rPr>
          <w:rFonts w:ascii="Calibri" w:hAnsi="Calibri" w:cs="Calibri"/>
          <w:sz w:val="24"/>
          <w:szCs w:val="24"/>
        </w:rPr>
        <w:t xml:space="preserve">is </w:t>
      </w:r>
      <w:r w:rsidR="00282017">
        <w:rPr>
          <w:rFonts w:ascii="Calibri" w:hAnsi="Calibri" w:cs="Calibri"/>
          <w:sz w:val="24"/>
          <w:szCs w:val="24"/>
        </w:rPr>
        <w:t xml:space="preserve">a significant part of </w:t>
      </w:r>
      <w:proofErr w:type="spellStart"/>
      <w:r w:rsidR="00282017">
        <w:rPr>
          <w:rFonts w:ascii="Calibri" w:hAnsi="Calibri" w:cs="Calibri"/>
          <w:sz w:val="24"/>
          <w:szCs w:val="24"/>
        </w:rPr>
        <w:t>Cañada’s</w:t>
      </w:r>
      <w:proofErr w:type="spellEnd"/>
      <w:r w:rsidR="00282017">
        <w:rPr>
          <w:rFonts w:ascii="Calibri" w:hAnsi="Calibri" w:cs="Calibri"/>
          <w:sz w:val="24"/>
          <w:szCs w:val="24"/>
        </w:rPr>
        <w:t xml:space="preserve"> STEM program</w:t>
      </w:r>
      <w:r w:rsidR="00282017">
        <w:rPr>
          <w:rFonts w:ascii="Calibri" w:hAnsi="Calibri" w:cs="Calibri"/>
          <w:sz w:val="24"/>
          <w:szCs w:val="24"/>
        </w:rPr>
        <w:t xml:space="preserve">, and has been </w:t>
      </w:r>
      <w:r w:rsidR="005E50A5">
        <w:rPr>
          <w:rFonts w:ascii="Calibri" w:hAnsi="Calibri" w:cs="Calibri"/>
          <w:sz w:val="24"/>
          <w:szCs w:val="24"/>
        </w:rPr>
        <w:t xml:space="preserve">committed to equity. </w:t>
      </w:r>
      <w:r w:rsidR="00282017">
        <w:rPr>
          <w:rFonts w:ascii="Calibri" w:hAnsi="Calibri" w:cs="Calibri"/>
          <w:sz w:val="24"/>
          <w:szCs w:val="24"/>
        </w:rPr>
        <w:t>The program has shown significant reductions in equity gaps for female and minority students, and a</w:t>
      </w:r>
      <w:r w:rsidR="005E50A5">
        <w:rPr>
          <w:rFonts w:ascii="Calibri" w:hAnsi="Calibri" w:cs="Calibri"/>
          <w:sz w:val="24"/>
          <w:szCs w:val="24"/>
        </w:rPr>
        <w:t xml:space="preserve"> fulltime faculty member is </w:t>
      </w:r>
      <w:r w:rsidR="00282017">
        <w:rPr>
          <w:rFonts w:ascii="Calibri" w:hAnsi="Calibri" w:cs="Calibri"/>
          <w:sz w:val="24"/>
          <w:szCs w:val="24"/>
        </w:rPr>
        <w:t xml:space="preserve">a </w:t>
      </w:r>
      <w:r w:rsidR="005E50A5">
        <w:rPr>
          <w:rFonts w:ascii="Calibri" w:hAnsi="Calibri" w:cs="Calibri"/>
          <w:sz w:val="24"/>
          <w:szCs w:val="24"/>
        </w:rPr>
        <w:t>key element to continuing to make progress</w:t>
      </w:r>
      <w:r w:rsidR="00282017">
        <w:rPr>
          <w:rFonts w:ascii="Calibri" w:hAnsi="Calibri" w:cs="Calibri"/>
          <w:sz w:val="24"/>
          <w:szCs w:val="24"/>
        </w:rPr>
        <w:t xml:space="preserve"> in these areas</w:t>
      </w:r>
      <w:bookmarkStart w:id="0" w:name="_GoBack"/>
      <w:bookmarkEnd w:id="0"/>
      <w:r w:rsidR="005E50A5">
        <w:rPr>
          <w:rFonts w:ascii="Calibri" w:hAnsi="Calibri" w:cs="Calibri"/>
          <w:sz w:val="24"/>
          <w:szCs w:val="24"/>
        </w:rPr>
        <w:t>.</w:t>
      </w:r>
    </w:p>
    <w:p w:rsidR="00A00464" w:rsidRDefault="00A00464" w:rsidP="005727DB">
      <w:pPr>
        <w:rPr>
          <w:rFonts w:ascii="Calibri" w:hAnsi="Calibri" w:cs="Calibri"/>
          <w:sz w:val="24"/>
          <w:szCs w:val="24"/>
        </w:rPr>
      </w:pPr>
    </w:p>
    <w:p w:rsidR="00A00464" w:rsidRDefault="00A00464" w:rsidP="00A00464"/>
    <w:sectPr w:rsidR="00A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A5EC8"/>
    <w:multiLevelType w:val="hybridMultilevel"/>
    <w:tmpl w:val="35624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821F8"/>
    <w:multiLevelType w:val="hybridMultilevel"/>
    <w:tmpl w:val="BDA01D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DB"/>
    <w:rsid w:val="00167A63"/>
    <w:rsid w:val="001D0976"/>
    <w:rsid w:val="00282017"/>
    <w:rsid w:val="00287176"/>
    <w:rsid w:val="003105BA"/>
    <w:rsid w:val="00420D41"/>
    <w:rsid w:val="00454756"/>
    <w:rsid w:val="005727DB"/>
    <w:rsid w:val="005E50A5"/>
    <w:rsid w:val="007F580A"/>
    <w:rsid w:val="0086706D"/>
    <w:rsid w:val="00A00464"/>
    <w:rsid w:val="00C21B72"/>
    <w:rsid w:val="00E6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B46B"/>
  <w15:chartTrackingRefBased/>
  <w15:docId w15:val="{0D73036E-100C-4BCA-9E85-912F8499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7DB"/>
    <w:pPr>
      <w:ind w:left="720"/>
      <w:contextualSpacing/>
    </w:pPr>
  </w:style>
  <w:style w:type="table" w:styleId="TableGrid">
    <w:name w:val="Table Grid"/>
    <w:basedOn w:val="TableNormal"/>
    <w:uiPriority w:val="39"/>
    <w:rsid w:val="0031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Partlan, Martin</dc:creator>
  <cp:keywords/>
  <dc:description/>
  <cp:lastModifiedBy>Windham, Adam</cp:lastModifiedBy>
  <cp:revision>3</cp:revision>
  <dcterms:created xsi:type="dcterms:W3CDTF">2018-11-26T19:31:00Z</dcterms:created>
  <dcterms:modified xsi:type="dcterms:W3CDTF">2018-11-26T19:45:00Z</dcterms:modified>
</cp:coreProperties>
</file>