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Engineering</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5">
      <w:pPr>
        <w:rPr/>
      </w:pPr>
      <w:r w:rsidDel="00000000" w:rsidR="00000000" w:rsidRPr="00000000">
        <w:rPr/>
        <w:drawing>
          <wp:inline distB="0" distT="0" distL="0" distR="0">
            <wp:extent cx="5243513" cy="3772013"/>
            <wp:effectExtent b="0" l="0" r="0" t="0"/>
            <wp:docPr descr="A graph of a graph with numbers and a line&#10;&#10;Description automatically generated with medium confidence" id="2058742889" name="image1.png"/>
            <a:graphic>
              <a:graphicData uri="http://schemas.openxmlformats.org/drawingml/2006/picture">
                <pic:pic>
                  <pic:nvPicPr>
                    <pic:cNvPr descr="A graph of a graph with numbers and a line&#10;&#10;Description automatically generated with medium confidence" id="0" name="image1.png"/>
                    <pic:cNvPicPr preferRelativeResize="0"/>
                  </pic:nvPicPr>
                  <pic:blipFill>
                    <a:blip r:embed="rId8"/>
                    <a:srcRect b="0" l="0" r="0" t="0"/>
                    <a:stretch>
                      <a:fillRect/>
                    </a:stretch>
                  </pic:blipFill>
                  <pic:spPr>
                    <a:xfrm>
                      <a:off x="0" y="0"/>
                      <a:ext cx="5243513" cy="377201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Enrollments for Engineering have been on a consistent rising from 142 in 2019-2020 to 249 in 2022-2023. There was only a slight dip in 2023-2024. Headcount didn’t appear to follow the exact trend although there was a general incline from 97 to 177 between 2019-2020 and 2022-2023. It then dipped more significantly in 2023 to 140, though not quite to the 97 that was there before.</w:t>
      </w:r>
    </w:p>
    <w:p w:rsidR="00000000" w:rsidDel="00000000" w:rsidP="00000000" w:rsidRDefault="00000000" w:rsidRPr="00000000" w14:paraId="00000007">
      <w:pPr>
        <w:rPr/>
      </w:pPr>
      <w:r w:rsidDel="00000000" w:rsidR="00000000" w:rsidRPr="00000000">
        <w:rPr/>
        <w:drawing>
          <wp:inline distB="0" distT="0" distL="0" distR="0">
            <wp:extent cx="3875447" cy="2930185"/>
            <wp:effectExtent b="0" l="0" r="0" t="0"/>
            <wp:docPr descr="A graph with a line and a line&#10;&#10;Description automatically generated" id="2058742891" name="image3.png"/>
            <a:graphic>
              <a:graphicData uri="http://schemas.openxmlformats.org/drawingml/2006/picture">
                <pic:pic>
                  <pic:nvPicPr>
                    <pic:cNvPr descr="A graph with a line and a line&#10;&#10;Description automatically generated" id="0" name="image3.png"/>
                    <pic:cNvPicPr preferRelativeResize="0"/>
                  </pic:nvPicPr>
                  <pic:blipFill>
                    <a:blip r:embed="rId9"/>
                    <a:srcRect b="0" l="0" r="0" t="0"/>
                    <a:stretch>
                      <a:fillRect/>
                    </a:stretch>
                  </pic:blipFill>
                  <pic:spPr>
                    <a:xfrm>
                      <a:off x="0" y="0"/>
                      <a:ext cx="3875447" cy="293018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section count has remained completely flat aside from jumping from 10 to 11 between 2010-2020 and 2020-2021.</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5829300" cy="4171950"/>
            <wp:effectExtent b="0" l="0" r="0" t="0"/>
            <wp:docPr id="205874289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829300" cy="41719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FTES has been on a consistent rise every single year from 2019-2020 to 2023-2024 going from 23 to 49.</w:t>
      </w:r>
    </w:p>
    <w:p w:rsidR="00000000" w:rsidDel="00000000" w:rsidP="00000000" w:rsidRDefault="00000000" w:rsidRPr="00000000" w14:paraId="0000000C">
      <w:pPr>
        <w:jc w:val="center"/>
        <w:rPr/>
      </w:pPr>
      <w:r w:rsidDel="00000000" w:rsidR="00000000" w:rsidRPr="00000000">
        <w:rPr/>
        <w:drawing>
          <wp:inline distB="114300" distT="114300" distL="114300" distR="114300">
            <wp:extent cx="5772150" cy="4381500"/>
            <wp:effectExtent b="0" l="0" r="0" t="0"/>
            <wp:docPr id="205874288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772150" cy="43815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Load changed relatively little between 2019-2020 and 2021-2022. It has dramatically improved and reached a high of 480 last year.</w:t>
      </w:r>
    </w:p>
    <w:p w:rsidR="00000000" w:rsidDel="00000000" w:rsidP="00000000" w:rsidRDefault="00000000" w:rsidRPr="00000000" w14:paraId="0000000E">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2">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2">
      <w:pPr>
        <w:rPr/>
      </w:pPr>
      <w:r w:rsidDel="00000000" w:rsidR="00000000" w:rsidRPr="00000000">
        <w:rPr/>
        <w:drawing>
          <wp:inline distB="114300" distT="114300" distL="114300" distR="114300">
            <wp:extent cx="5734050" cy="6438900"/>
            <wp:effectExtent b="0" l="0" r="0" t="0"/>
            <wp:docPr id="205874289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34050" cy="64389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Success rates have been very high in Engineering over the past five years, with a slight drop in 2023-24.</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0" distT="0" distL="0" distR="0">
            <wp:extent cx="5943600" cy="4312285"/>
            <wp:docPr id="2058742886"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ENGR-695 and ENGR-240 had the lowest withdrawal rates at 0% while ENGR-215 had the highest at 24%. ENGR-695 and ENGR-240 also had the highest success rates of 100% while ENG-215 had the lowest at 70%.</w:t>
      </w:r>
    </w:p>
    <w:p w:rsidR="00000000" w:rsidDel="00000000" w:rsidP="00000000" w:rsidRDefault="00000000" w:rsidRPr="00000000" w14:paraId="00000017">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8B. Student Equity</w:t>
      </w: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rsidR="00000000" w:rsidDel="00000000" w:rsidP="00000000" w:rsidRDefault="00000000" w:rsidRPr="00000000" w14:paraId="00000019">
      <w:pPr>
        <w:spacing w:after="0" w:before="240" w:lineRule="auto"/>
        <w:rPr>
          <w:rFonts w:ascii="Arial" w:cs="Arial" w:eastAsia="Arial" w:hAnsi="Arial"/>
          <w:b w:val="1"/>
          <w:color w:val="000000"/>
        </w:rPr>
      </w:pPr>
      <w:r w:rsidDel="00000000" w:rsidR="00000000" w:rsidRPr="00000000">
        <w:rPr>
          <w:rFonts w:ascii="Arial" w:cs="Arial" w:eastAsia="Arial" w:hAnsi="Arial"/>
          <w:b w:val="1"/>
          <w:rtl w:val="0"/>
        </w:rPr>
        <w:t xml:space="preserve">OVERALL EQUITY</w:t>
      </w: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Engineering in the most recent academic year (2023-2024)</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Engineering appear below (see Table 1-2). </w:t>
      </w:r>
    </w:p>
    <w:p w:rsidR="00000000" w:rsidDel="00000000" w:rsidP="00000000" w:rsidRDefault="00000000" w:rsidRPr="00000000" w14:paraId="0000001C">
      <w:pPr>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one student subgroup was underrepresented in Engineering classes compared to the college-wide population (see Table 1). For instance, female students are underrepresented in Engineering. The proportion of female students in Engineering across all course modalities was 42 percentage points lower than the proportion of female students enrolled college-wide.</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1"/>
        <w:tblW w:w="3606.0" w:type="dxa"/>
        <w:jc w:val="left"/>
        <w:tblLayout w:type="fixed"/>
        <w:tblLook w:val="0400"/>
      </w:tblPr>
      <w:tblGrid>
        <w:gridCol w:w="2586"/>
        <w:gridCol w:w="1020"/>
        <w:tblGridChange w:id="0">
          <w:tblGrid>
            <w:gridCol w:w="2586"/>
            <w:gridCol w:w="102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0">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1">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3">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-42%</w:t>
            </w:r>
          </w:p>
        </w:tc>
      </w:tr>
    </w:tbl>
    <w:p w:rsidR="00000000" w:rsidDel="00000000" w:rsidP="00000000" w:rsidRDefault="00000000" w:rsidRPr="00000000" w14:paraId="00000024">
      <w:pPr>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26">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Engineering was compared to the overall success rate in Engineering. The difference between the two rates (the gap) revealed four subgroups may have been disproportionately impacted (see Table 2). For example, the success rate for Hispanic students in Engineering was 10 percentage points lower than the overall success rate in Engineering during the 2023-2024 academic year.</w:t>
      </w:r>
    </w:p>
    <w:p w:rsidR="00000000" w:rsidDel="00000000" w:rsidP="00000000" w:rsidRDefault="00000000" w:rsidRPr="00000000" w14:paraId="00000027">
      <w:pPr>
        <w:tabs>
          <w:tab w:val="left" w:leader="none" w:pos="6878"/>
        </w:tabs>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Table 2.</w:t>
        <w:tab/>
      </w:r>
    </w:p>
    <w:tbl>
      <w:tblPr>
        <w:tblStyle w:val="Table2"/>
        <w:tblW w:w="5670.0" w:type="dxa"/>
        <w:jc w:val="left"/>
        <w:tblLayout w:type="fixed"/>
        <w:tblLook w:val="0400"/>
      </w:tblPr>
      <w:tblGrid>
        <w:gridCol w:w="3330"/>
        <w:gridCol w:w="2340"/>
        <w:tblGridChange w:id="0">
          <w:tblGrid>
            <w:gridCol w:w="3330"/>
            <w:gridCol w:w="234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9">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B">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Male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D">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-13%</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23-28</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F">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-21%</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Unreported - First Generation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1">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-19%</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drawing>
          <wp:inline distB="0" distT="0" distL="0" distR="0">
            <wp:extent cx="4900613" cy="6392602"/>
            <wp:effectExtent b="0" l="0" r="0" t="0"/>
            <wp:docPr descr="A graph with numbers and lines&#10;&#10;Description automatically generated" id="2058742887" name="image2.png"/>
            <a:graphic>
              <a:graphicData uri="http://schemas.openxmlformats.org/drawingml/2006/picture">
                <pic:pic>
                  <pic:nvPicPr>
                    <pic:cNvPr descr="A graph with numbers and lines&#10;&#10;Description automatically generated" id="0" name="image2.png"/>
                    <pic:cNvPicPr preferRelativeResize="0"/>
                  </pic:nvPicPr>
                  <pic:blipFill>
                    <a:blip r:embed="rId15"/>
                    <a:srcRect b="0" l="0" r="0" t="0"/>
                    <a:stretch>
                      <a:fillRect/>
                    </a:stretch>
                  </pic:blipFill>
                  <pic:spPr>
                    <a:xfrm>
                      <a:off x="0" y="0"/>
                      <a:ext cx="4900613" cy="6392602"/>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success rate for in person classes dropped significantly from 94% in 2019-2020 to 78% in 2020-2021. However, it quickly recovered and even reached 100% by 2022-2023. Success rates dipped down to 90% after that point in 2023-2024. Online class success rates briefly surged from 83% in 2020-2021 to 100% in 2021-2022. However, they then dropped to 74% by 2023-2024 going well below the in-person success rate. Synchronous classes stayed in the 81-87 percent range by the end of 2021-2022, but then dropped significantly to 68% in 2022-2023. It has since only recovered slightly to 70%.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A26FE0"/>
  </w:style>
  <w:style w:type="paragraph" w:styleId="Heading1">
    <w:name w:val="heading 1"/>
    <w:basedOn w:val="Normal"/>
    <w:next w:val="Normal"/>
    <w:link w:val="Heading1Char"/>
    <w:uiPriority w:val="9"/>
    <w:qFormat w:val="1"/>
    <w:rsid w:val="0027661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7661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7661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7661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7661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7661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7661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7661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7661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276610"/>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27661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7661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7661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7661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7661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7661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7661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7661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7661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766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27661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7661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76610"/>
    <w:rPr>
      <w:i w:val="1"/>
      <w:iCs w:val="1"/>
      <w:color w:val="404040" w:themeColor="text1" w:themeTint="0000BF"/>
    </w:rPr>
  </w:style>
  <w:style w:type="paragraph" w:styleId="ListParagraph">
    <w:name w:val="List Paragraph"/>
    <w:basedOn w:val="Normal"/>
    <w:uiPriority w:val="34"/>
    <w:qFormat w:val="1"/>
    <w:rsid w:val="00276610"/>
    <w:pPr>
      <w:ind w:left="720"/>
      <w:contextualSpacing w:val="1"/>
    </w:pPr>
  </w:style>
  <w:style w:type="character" w:styleId="IntenseEmphasis">
    <w:name w:val="Intense Emphasis"/>
    <w:basedOn w:val="DefaultParagraphFont"/>
    <w:uiPriority w:val="21"/>
    <w:qFormat w:val="1"/>
    <w:rsid w:val="00276610"/>
    <w:rPr>
      <w:i w:val="1"/>
      <w:iCs w:val="1"/>
      <w:color w:val="0f4761" w:themeColor="accent1" w:themeShade="0000BF"/>
    </w:rPr>
  </w:style>
  <w:style w:type="paragraph" w:styleId="IntenseQuote">
    <w:name w:val="Intense Quote"/>
    <w:basedOn w:val="Normal"/>
    <w:next w:val="Normal"/>
    <w:link w:val="IntenseQuoteChar"/>
    <w:uiPriority w:val="30"/>
    <w:qFormat w:val="1"/>
    <w:rsid w:val="0027661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76610"/>
    <w:rPr>
      <w:i w:val="1"/>
      <w:iCs w:val="1"/>
      <w:color w:val="0f4761" w:themeColor="accent1" w:themeShade="0000BF"/>
    </w:rPr>
  </w:style>
  <w:style w:type="character" w:styleId="IntenseReference">
    <w:name w:val="Intense Reference"/>
    <w:basedOn w:val="DefaultParagraphFont"/>
    <w:uiPriority w:val="32"/>
    <w:qFormat w:val="1"/>
    <w:rsid w:val="00276610"/>
    <w:rPr>
      <w:b w:val="1"/>
      <w:bCs w:val="1"/>
      <w:smallCaps w:val="1"/>
      <w:color w:val="0f4761" w:themeColor="accent1" w:themeShade="0000BF"/>
      <w:spacing w:val="5"/>
    </w:rPr>
  </w:style>
  <w:style w:type="character" w:styleId="Hyperlink">
    <w:name w:val="Hyperlink"/>
    <w:basedOn w:val="DefaultParagraphFont"/>
    <w:uiPriority w:val="99"/>
    <w:unhideWhenUsed w:val="1"/>
    <w:rsid w:val="000F6A10"/>
    <w:rPr>
      <w:color w:val="0000ff"/>
      <w:u w:val="single"/>
    </w:rPr>
  </w:style>
  <w:style w:type="paragraph" w:styleId="FootnoteText">
    <w:name w:val="footnote text"/>
    <w:basedOn w:val="Normal"/>
    <w:link w:val="FootnoteTextChar"/>
    <w:uiPriority w:val="99"/>
    <w:semiHidden w:val="1"/>
    <w:unhideWhenUsed w:val="1"/>
    <w:rsid w:val="00924E4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24E42"/>
    <w:rPr>
      <w:kern w:val="0"/>
      <w:sz w:val="20"/>
      <w:szCs w:val="20"/>
    </w:rPr>
  </w:style>
  <w:style w:type="character" w:styleId="FootnoteReference">
    <w:name w:val="footnote reference"/>
    <w:basedOn w:val="DefaultParagraphFont"/>
    <w:uiPriority w:val="99"/>
    <w:semiHidden w:val="1"/>
    <w:unhideWhenUsed w:val="1"/>
    <w:rsid w:val="00924E42"/>
    <w:rPr>
      <w:vertAlign w:val="superscrip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hyperlink" Target="https://canadacollege.edu/prie/data-dashbo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chart" Target="charts/chart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engineering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COURSE'!$R$2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COURSE'!$Q$3:$Q$11</c:f>
              <c:strCache>
                <c:ptCount val="9"/>
                <c:pt idx="0">
                  <c:v>ENGR-100</c:v>
                </c:pt>
                <c:pt idx="1">
                  <c:v>ENGR-210</c:v>
                </c:pt>
                <c:pt idx="2">
                  <c:v>ENGR-215</c:v>
                </c:pt>
                <c:pt idx="3">
                  <c:v>ENGR-230</c:v>
                </c:pt>
                <c:pt idx="4">
                  <c:v>ENGR-240</c:v>
                </c:pt>
                <c:pt idx="5">
                  <c:v>ENGR-260</c:v>
                </c:pt>
                <c:pt idx="6">
                  <c:v>ENGR-261</c:v>
                </c:pt>
                <c:pt idx="7">
                  <c:v>ENGR-270</c:v>
                </c:pt>
                <c:pt idx="8">
                  <c:v>ENGR-695</c:v>
                </c:pt>
              </c:strCache>
            </c:strRef>
          </c:cat>
          <c:val>
            <c:numRef>
              <c:f>'SUCCESS BY COURSE'!$R$3:$R$11</c:f>
              <c:numCache>
                <c:formatCode>#,##0%;\*</c:formatCode>
                <c:ptCount val="9"/>
                <c:pt idx="0">
                  <c:v>0.78811369509043905</c:v>
                </c:pt>
                <c:pt idx="1">
                  <c:v>0.76724137931034497</c:v>
                </c:pt>
                <c:pt idx="2">
                  <c:v>0.702380952380952</c:v>
                </c:pt>
                <c:pt idx="3">
                  <c:v>0.90476190476190499</c:v>
                </c:pt>
                <c:pt idx="4">
                  <c:v>1</c:v>
                </c:pt>
                <c:pt idx="5">
                  <c:v>0.92771084337349397</c:v>
                </c:pt>
                <c:pt idx="6">
                  <c:v>0.90476190476190499</c:v>
                </c:pt>
                <c:pt idx="7">
                  <c:v>0.88333333333333297</c:v>
                </c:pt>
                <c:pt idx="8">
                  <c:v>1</c:v>
                </c:pt>
              </c:numCache>
            </c:numRef>
          </c:val>
          <c:extLst>
            <c:ext xmlns:c16="http://schemas.microsoft.com/office/drawing/2014/chart" uri="{C3380CC4-5D6E-409C-BE32-E72D297353CC}">
              <c16:uniqueId val="{00000000-27A4-4E86-A541-91ED6651BE56}"/>
            </c:ext>
          </c:extLst>
        </c:ser>
        <c:ser>
          <c:idx val="1"/>
          <c:order val="1"/>
          <c:tx>
            <c:strRef>
              <c:f>'SUCCESS BY COURSE'!$S$2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COURSE'!$Q$3:$Q$11</c:f>
              <c:strCache>
                <c:ptCount val="9"/>
                <c:pt idx="0">
                  <c:v>ENGR-100</c:v>
                </c:pt>
                <c:pt idx="1">
                  <c:v>ENGR-210</c:v>
                </c:pt>
                <c:pt idx="2">
                  <c:v>ENGR-215</c:v>
                </c:pt>
                <c:pt idx="3">
                  <c:v>ENGR-230</c:v>
                </c:pt>
                <c:pt idx="4">
                  <c:v>ENGR-240</c:v>
                </c:pt>
                <c:pt idx="5">
                  <c:v>ENGR-260</c:v>
                </c:pt>
                <c:pt idx="6">
                  <c:v>ENGR-261</c:v>
                </c:pt>
                <c:pt idx="7">
                  <c:v>ENGR-270</c:v>
                </c:pt>
                <c:pt idx="8">
                  <c:v>ENGR-695</c:v>
                </c:pt>
              </c:strCache>
            </c:strRef>
          </c:cat>
          <c:val>
            <c:numRef>
              <c:f>'SUCCESS BY COURSE'!$S$3:$S$11</c:f>
              <c:numCache>
                <c:formatCode>#,##0%;\*</c:formatCode>
                <c:ptCount val="9"/>
                <c:pt idx="0">
                  <c:v>0.152454780361757</c:v>
                </c:pt>
                <c:pt idx="1">
                  <c:v>0.10344827586206901</c:v>
                </c:pt>
                <c:pt idx="2">
                  <c:v>0.238095238095238</c:v>
                </c:pt>
                <c:pt idx="3">
                  <c:v>7.9365079365079402E-2</c:v>
                </c:pt>
                <c:pt idx="4">
                  <c:v>0</c:v>
                </c:pt>
                <c:pt idx="5">
                  <c:v>7.2289156626505993E-2</c:v>
                </c:pt>
                <c:pt idx="6">
                  <c:v>9.5238095238095205E-2</c:v>
                </c:pt>
                <c:pt idx="7">
                  <c:v>0.116666666666667</c:v>
                </c:pt>
                <c:pt idx="8">
                  <c:v>0</c:v>
                </c:pt>
              </c:numCache>
            </c:numRef>
          </c:val>
          <c:extLst>
            <c:ext xmlns:c16="http://schemas.microsoft.com/office/drawing/2014/chart" uri="{C3380CC4-5D6E-409C-BE32-E72D297353CC}">
              <c16:uniqueId val="{00000001-27A4-4E86-A541-91ED6651BE56}"/>
            </c:ext>
          </c:extLst>
        </c:ser>
        <c:dLbls>
          <c:dLblPos val="outEnd"/>
          <c:showLegendKey val="0"/>
          <c:showVal val="1"/>
          <c:showCatName val="0"/>
          <c:showSerName val="0"/>
          <c:showPercent val="0"/>
          <c:showBubbleSize val="0"/>
        </c:dLbls>
        <c:gapWidth val="182"/>
        <c:axId val="118918799"/>
        <c:axId val="118918319"/>
      </c:barChart>
      <c:catAx>
        <c:axId val="1189187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18319"/>
        <c:crosses val="autoZero"/>
        <c:auto val="1"/>
        <c:lblAlgn val="ctr"/>
        <c:lblOffset val="100"/>
        <c:noMultiLvlLbl val="0"/>
      </c:catAx>
      <c:valAx>
        <c:axId val="1189183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18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bin/duKG9Mkini5uNwOquikA==">CgMxLjAyCGguZ2pkZ3hzOAByITFycWVQMjdhTHJ5ZDdQUEVKRlRwcVh6UE1NQXNSa2U2MA==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2024-07-22T15:28:00Z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