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Fashion Design</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rPr>
      </w:pPr>
      <w:r w:rsidDel="00000000" w:rsidR="00000000" w:rsidRPr="00000000">
        <w:rPr>
          <w:rFonts w:ascii="Arial" w:cs="Arial" w:eastAsia="Arial" w:hAnsi="Arial"/>
          <w:b w:val="1"/>
          <w:color w:val="000000"/>
        </w:rPr>
        <w:drawing>
          <wp:inline distB="0" distT="0" distL="0" distR="0">
            <wp:extent cx="5090628" cy="4194873"/>
            <wp:effectExtent b="0" l="0" r="0" t="0"/>
            <wp:docPr descr="A graph with numbers and lines&#10;&#10;Description automatically generated" id="2051683066" name="image5.png"/>
            <a:graphic>
              <a:graphicData uri="http://schemas.openxmlformats.org/drawingml/2006/picture">
                <pic:pic>
                  <pic:nvPicPr>
                    <pic:cNvPr descr="A graph with numbers and lines&#10;&#10;Description automatically generated" id="0" name="image5.png"/>
                    <pic:cNvPicPr preferRelativeResize="0"/>
                  </pic:nvPicPr>
                  <pic:blipFill>
                    <a:blip r:embed="rId8"/>
                    <a:srcRect b="0" l="0" r="0" t="0"/>
                    <a:stretch>
                      <a:fillRect/>
                    </a:stretch>
                  </pic:blipFill>
                  <pic:spPr>
                    <a:xfrm>
                      <a:off x="0" y="0"/>
                      <a:ext cx="5090628" cy="419487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Enrollment and headcount has remained relatively flat with a slight increase across the four years for enrollments along with a slight decrease for headcount. Enrollment rose from 675 in 2019-2020 to 717 in 2023-2024. Meanwhile, headcount decreased from 335 to 314 between 2019-2020 and 2023-2024.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4716034" cy="3523926"/>
            <wp:effectExtent b="0" l="0" r="0" t="0"/>
            <wp:docPr descr="A graph with a line and numbers&#10;&#10;Description automatically generated" id="2051683068" name="image6.png"/>
            <a:graphic>
              <a:graphicData uri="http://schemas.openxmlformats.org/drawingml/2006/picture">
                <pic:pic>
                  <pic:nvPicPr>
                    <pic:cNvPr descr="A graph with a line and numbers&#10;&#10;Description automatically generated" id="0" name="image6.png"/>
                    <pic:cNvPicPr preferRelativeResize="0"/>
                  </pic:nvPicPr>
                  <pic:blipFill>
                    <a:blip r:embed="rId9"/>
                    <a:srcRect b="0" l="0" r="0" t="0"/>
                    <a:stretch>
                      <a:fillRect/>
                    </a:stretch>
                  </pic:blipFill>
                  <pic:spPr>
                    <a:xfrm>
                      <a:off x="0" y="0"/>
                      <a:ext cx="4716034" cy="352392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Section count declined from 32 to 24 between 2019-2020 and 2020-2021. It then increased up to 34 by 2022-2023 and remained there in 2023-2024.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0" distT="0" distL="0" distR="0">
            <wp:extent cx="4919889" cy="3470204"/>
            <wp:effectExtent b="0" l="0" r="0" t="0"/>
            <wp:docPr descr="A graph with numbers and a line&#10;&#10;Description automatically generated" id="2051683067" name="image1.png"/>
            <a:graphic>
              <a:graphicData uri="http://schemas.openxmlformats.org/drawingml/2006/picture">
                <pic:pic>
                  <pic:nvPicPr>
                    <pic:cNvPr descr="A graph with numbers and a line&#10;&#10;Description automatically generated" id="0" name="image1.png"/>
                    <pic:cNvPicPr preferRelativeResize="0"/>
                  </pic:nvPicPr>
                  <pic:blipFill>
                    <a:blip r:embed="rId10"/>
                    <a:srcRect b="0" l="0" r="0" t="0"/>
                    <a:stretch>
                      <a:fillRect/>
                    </a:stretch>
                  </pic:blipFill>
                  <pic:spPr>
                    <a:xfrm>
                      <a:off x="0" y="0"/>
                      <a:ext cx="4919889" cy="347020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FTEF declined from 5 to 4 between 2019-2020 and 2020-2021. It then increased to 6 between then and 2022-2023 where it remained since.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114300" distT="114300" distL="114300" distR="114300">
            <wp:extent cx="5072063" cy="3825110"/>
            <wp:effectExtent b="0" l="0" r="0" t="0"/>
            <wp:docPr id="205168306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072063" cy="382511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While load in Fashion Design declined during the pandemic, it increased again to 337 in 2023-2024.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0" distT="0" distL="0" distR="0">
            <wp:extent cx="4399357" cy="4926716"/>
            <wp:effectExtent b="0" l="0" r="0" t="0"/>
            <wp:docPr descr="A graph with numbers and lines&#10;&#10;Description automatically generated" id="2051683069" name="image4.png"/>
            <a:graphic>
              <a:graphicData uri="http://schemas.openxmlformats.org/drawingml/2006/picture">
                <pic:pic>
                  <pic:nvPicPr>
                    <pic:cNvPr descr="A graph with numbers and lines&#10;&#10;Description automatically generated" id="0" name="image4.png"/>
                    <pic:cNvPicPr preferRelativeResize="0"/>
                  </pic:nvPicPr>
                  <pic:blipFill>
                    <a:blip r:embed="rId13"/>
                    <a:srcRect b="0" l="0" r="0" t="0"/>
                    <a:stretch>
                      <a:fillRect/>
                    </a:stretch>
                  </pic:blipFill>
                  <pic:spPr>
                    <a:xfrm>
                      <a:off x="0" y="0"/>
                      <a:ext cx="4399357" cy="492671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success rate has remained essentially flat between 2019-2020 and 2023-2024 only fluctuating between 73% and 76% in no apparent trend. Withdraw rates also remained relatively flat between 16-18% with one exception of 13% in 2022-2023.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0" distT="0" distL="0" distR="0">
            <wp:extent cx="5943600" cy="6671945"/>
            <wp:docPr id="2051683063"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FASH-196 had the highest withdraw rate of 43% while FASH-167, 178, 199, and 163 all had the lowest withdraw rate of 0%. FASH-199 had the highest success rate of 100% along with FASH-226 and 196 having the lowest at 54%.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21">
      <w:pPr>
        <w:spacing w:after="0" w:before="24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Fashion Design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Fashion Design appear below (see Table 1-3). </w:t>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three student subgroups were underrepresented in Fashion Design classes compared to the college-wide population (see Table 1). For instance, Hispanic students are underrepresented in Fashion Design. The proportion of Hispanic students in Fashion Design across all course modalities was 17 percentage points lower than the proportion of Hispanic students enrolled college-wide.</w:t>
      </w:r>
    </w:p>
    <w:p w:rsidR="00000000" w:rsidDel="00000000" w:rsidP="00000000" w:rsidRDefault="00000000" w:rsidRPr="00000000" w14:paraId="00000026">
      <w:pPr>
        <w:rPr/>
      </w:pPr>
      <w:r w:rsidDel="00000000" w:rsidR="00000000" w:rsidRPr="00000000">
        <w:rPr>
          <w:rtl w:val="0"/>
        </w:rPr>
      </w:r>
    </w:p>
    <w:tbl>
      <w:tblPr>
        <w:tblStyle w:val="Table1"/>
        <w:tblW w:w="2716.0" w:type="dxa"/>
        <w:jc w:val="left"/>
        <w:tblLayout w:type="fixed"/>
        <w:tblLook w:val="0400"/>
      </w:tblPr>
      <w:tblGrid>
        <w:gridCol w:w="1696"/>
        <w:gridCol w:w="1020"/>
        <w:tblGridChange w:id="0">
          <w:tblGrid>
            <w:gridCol w:w="1696"/>
            <w:gridCol w:w="102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A">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18-22</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31">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Fashion Design was compared to the overall success rate in Fashion Design. The difference between the two rates (the gap) revealed seven subgroups may have been disproportionately impacted (see Table 2). For example, the success rate for Hispanic male students in Fashion Design was 35 percentage points lower than the overall success rate in </w:t>
      </w:r>
      <w:r w:rsidDel="00000000" w:rsidR="00000000" w:rsidRPr="00000000">
        <w:rPr>
          <w:rFonts w:ascii="Arial" w:cs="Arial" w:eastAsia="Arial" w:hAnsi="Arial"/>
          <w:rtl w:val="0"/>
        </w:rPr>
        <w:t xml:space="preserve">Fashion Design </w:t>
      </w:r>
      <w:r w:rsidDel="00000000" w:rsidR="00000000" w:rsidRPr="00000000">
        <w:rPr>
          <w:rFonts w:ascii="Arial" w:cs="Arial" w:eastAsia="Arial" w:hAnsi="Arial"/>
          <w:color w:val="000000"/>
          <w:rtl w:val="0"/>
        </w:rPr>
        <w:t xml:space="preserve">during the 2023-2024 academic year.</w:t>
      </w:r>
    </w:p>
    <w:p w:rsidR="00000000" w:rsidDel="00000000" w:rsidP="00000000" w:rsidRDefault="00000000" w:rsidRPr="00000000" w14:paraId="00000032">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color w:val="000000"/>
        </w:rPr>
      </w:pPr>
      <w:r w:rsidDel="00000000" w:rsidR="00000000" w:rsidRPr="00000000">
        <w:rPr>
          <w:rtl w:val="0"/>
        </w:rPr>
      </w:r>
    </w:p>
    <w:tbl>
      <w:tblPr>
        <w:tblStyle w:val="Table2"/>
        <w:tblW w:w="5175.0" w:type="dxa"/>
        <w:jc w:val="left"/>
        <w:tblLayout w:type="fixed"/>
        <w:tblLook w:val="0400"/>
      </w:tblPr>
      <w:tblGrid>
        <w:gridCol w:w="2445"/>
        <w:gridCol w:w="2730"/>
        <w:tblGridChange w:id="0">
          <w:tblGrid>
            <w:gridCol w:w="2445"/>
            <w:gridCol w:w="273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Filipino</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A">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Unknown Race/Eth</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C">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Male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E">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18-22</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23-28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2">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Low Income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4">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4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withdraw rates. The withdraw rates for subgroups in Fashion Design was compared to the overall withdraw rate for the program. One subgroup had  a withdraw rate that were higher than the overall rate, suggesting this group possibly experienced disproportionate impact in Fashion Design. Unknown Race/Eth students were disproportionately impacted in Fashion Design during the 2023-2024 academic year. Unknown Race/Eth students had withdraw rates 17 percentage points higher than the average withdraw rate for Fashion Design.</w:t>
      </w:r>
    </w:p>
    <w:p w:rsidR="00000000" w:rsidDel="00000000" w:rsidP="00000000" w:rsidRDefault="00000000" w:rsidRPr="00000000" w14:paraId="00000048">
      <w:pPr>
        <w:spacing w:line="276" w:lineRule="auto"/>
        <w:rPr>
          <w:rFonts w:ascii="Arial" w:cs="Arial" w:eastAsia="Arial" w:hAnsi="Arial"/>
          <w:color w:val="000000"/>
        </w:rPr>
      </w:pPr>
      <w:r w:rsidDel="00000000" w:rsidR="00000000" w:rsidRPr="00000000">
        <w:rPr>
          <w:rtl w:val="0"/>
        </w:rPr>
      </w:r>
    </w:p>
    <w:tbl>
      <w:tblPr>
        <w:tblStyle w:val="Table3"/>
        <w:tblW w:w="5190.0" w:type="dxa"/>
        <w:jc w:val="left"/>
        <w:tblLayout w:type="fixed"/>
        <w:tblLook w:val="0400"/>
      </w:tblPr>
      <w:tblGrid>
        <w:gridCol w:w="2310"/>
        <w:gridCol w:w="1035"/>
        <w:gridCol w:w="1845"/>
        <w:tblGridChange w:id="0">
          <w:tblGrid>
            <w:gridCol w:w="2310"/>
            <w:gridCol w:w="1035"/>
            <w:gridCol w:w="184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9">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A">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B">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 Type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Unknown Race/Eth</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17%</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Withdraws</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240" w:before="240" w:lineRule="auto"/>
        <w:rPr>
          <w:rFonts w:ascii="Arial" w:cs="Arial" w:eastAsia="Arial" w:hAnsi="Arial"/>
          <w:b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after="240" w:befor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5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53">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Fashion Design was compared to the overall success rate in Fashion Design. The difference between the two rates (the gap) revealed six subgroups may have been disproportionately impacted (see Table 1). For example, the success rate for Hispanic students in face to face classes for Fashion Design was 13 points lower than the overall success rate in Fashion Design during the 2023-2024 academic year.</w:t>
      </w:r>
    </w:p>
    <w:p w:rsidR="00000000" w:rsidDel="00000000" w:rsidP="00000000" w:rsidRDefault="00000000" w:rsidRPr="00000000" w14:paraId="00000054">
      <w:pPr>
        <w:rPr/>
      </w:pPr>
      <w:r w:rsidDel="00000000" w:rsidR="00000000" w:rsidRPr="00000000">
        <w:rPr>
          <w:rtl w:val="0"/>
        </w:rPr>
        <w:t xml:space="preserve">Table 1.</w:t>
      </w:r>
    </w:p>
    <w:tbl>
      <w:tblPr>
        <w:tblStyle w:val="Table4"/>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115"/>
        <w:gridCol w:w="1950"/>
        <w:gridCol w:w="1815"/>
        <w:gridCol w:w="1425"/>
        <w:tblGridChange w:id="0">
          <w:tblGrid>
            <w:gridCol w:w="2385"/>
            <w:gridCol w:w="2115"/>
            <w:gridCol w:w="1950"/>
            <w:gridCol w:w="1815"/>
            <w:gridCol w:w="1425"/>
          </w:tblGrid>
        </w:tblGridChange>
      </w:tblGrid>
      <w:tr>
        <w:trPr>
          <w:cantSplit w:val="0"/>
          <w:trHeight w:val="740" w:hRule="atLeast"/>
          <w:tblHeader w:val="0"/>
        </w:trPr>
        <w:tc>
          <w:tcPr>
            <w:tcBorders>
              <w:top w:color="000000" w:space="0" w:sz="7" w:val="single"/>
              <w:left w:color="000000" w:space="0" w:sz="7"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Fonts w:ascii="Arial" w:cs="Arial" w:eastAsia="Arial" w:hAnsi="Arial"/>
                <w:b w:val="1"/>
                <w:rtl w:val="0"/>
              </w:rPr>
              <w:t xml:space="preserve">SubGroup</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Fonts w:ascii="Arial" w:cs="Arial" w:eastAsia="Arial" w:hAnsi="Arial"/>
                <w:b w:val="1"/>
                <w:rtl w:val="0"/>
              </w:rPr>
              <w:t xml:space="preserve">ONLINE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Fonts w:ascii="Arial" w:cs="Arial" w:eastAsia="Arial" w:hAnsi="Arial"/>
                <w:b w:val="1"/>
                <w:rtl w:val="0"/>
              </w:rPr>
              <w:t xml:space="preserve">FACE TO FACE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Fonts w:ascii="Arial" w:cs="Arial" w:eastAsia="Arial" w:hAnsi="Arial"/>
                <w:b w:val="1"/>
                <w:rtl w:val="0"/>
              </w:rPr>
              <w:t xml:space="preserve">HYBRID</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Fonts w:ascii="Arial" w:cs="Arial" w:eastAsia="Arial" w:hAnsi="Arial"/>
                <w:b w:val="1"/>
                <w:rtl w:val="0"/>
              </w:rPr>
              <w:t xml:space="preserve">SYNC</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18-22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Low Income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r>
          </w:p>
        </w:tc>
      </w:tr>
      <w:tr>
        <w:trPr>
          <w:cantSplit w:val="0"/>
          <w:trHeight w:val="646.0119628906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t xml:space="preserve">Unknown Race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-27%</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Unreported First Generation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-22.60%</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Low Income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-16%</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Withdraws</w:t>
      </w:r>
    </w:p>
    <w:p w:rsidR="00000000" w:rsidDel="00000000" w:rsidP="00000000" w:rsidRDefault="00000000" w:rsidRPr="00000000" w14:paraId="0000007A">
      <w:pPr>
        <w:spacing w:after="240" w:before="240" w:line="276" w:lineRule="auto"/>
        <w:rPr>
          <w:rFonts w:ascii="Arial" w:cs="Arial" w:eastAsia="Arial" w:hAnsi="Arial"/>
        </w:rPr>
      </w:pPr>
      <w:r w:rsidDel="00000000" w:rsidR="00000000" w:rsidRPr="00000000">
        <w:rPr>
          <w:rFonts w:ascii="Arial" w:cs="Arial" w:eastAsia="Arial" w:hAnsi="Arial"/>
          <w:rtl w:val="0"/>
        </w:rPr>
        <w:t xml:space="preserve">Withdraws is the rate at which a student withdraws from a course, with higher numbers being worse, as they indicate greater withdrawal rates. The withdrawal rates for subgroups in Fashion Design was compared to the overall withdrawal rate for the program. One subgroup had withdrawal rates that were higher than the overall rate, suggesting this group experienced disproportionate impact in Fashion Design. Unknown Race students were disproportionately impacted in Fashion Design during the 2023-2024 academic year. Unknown Race students in Synchronous Fashion Design classes had withdrawal rates 20 percentage points higher than the average withdrawal rate for Fashion Design.</w:t>
      </w:r>
    </w:p>
    <w:p w:rsidR="00000000" w:rsidDel="00000000" w:rsidP="00000000" w:rsidRDefault="00000000" w:rsidRPr="00000000" w14:paraId="0000007B">
      <w:pPr>
        <w:rPr/>
      </w:pPr>
      <w:r w:rsidDel="00000000" w:rsidR="00000000" w:rsidRPr="00000000">
        <w:rPr>
          <w:rtl w:val="0"/>
        </w:rPr>
        <w:t xml:space="preserve">Table 2.</w:t>
      </w:r>
    </w:p>
    <w:tbl>
      <w:tblPr>
        <w:tblStyle w:val="Table5"/>
        <w:tblW w:w="6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5"/>
        <w:gridCol w:w="1220"/>
        <w:gridCol w:w="1730"/>
        <w:gridCol w:w="1220"/>
        <w:gridCol w:w="1220"/>
        <w:tblGridChange w:id="0">
          <w:tblGrid>
            <w:gridCol w:w="1415"/>
            <w:gridCol w:w="1220"/>
            <w:gridCol w:w="1730"/>
            <w:gridCol w:w="1220"/>
            <w:gridCol w:w="1220"/>
          </w:tblGrid>
        </w:tblGridChange>
      </w:tblGrid>
      <w:tr>
        <w:trPr>
          <w:cantSplit w:val="0"/>
          <w:trHeight w:val="740" w:hRule="atLeast"/>
          <w:tblHeader w:val="0"/>
        </w:trPr>
        <w:tc>
          <w:tcPr>
            <w:tcBorders>
              <w:top w:color="000000" w:space="0" w:sz="7" w:val="single"/>
              <w:left w:color="000000" w:space="0" w:sz="7"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Fonts w:ascii="Arial" w:cs="Arial" w:eastAsia="Arial" w:hAnsi="Arial"/>
                <w:b w:val="1"/>
                <w:rtl w:val="0"/>
              </w:rPr>
              <w:t xml:space="preserve">SubGroup</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Fonts w:ascii="Arial" w:cs="Arial" w:eastAsia="Arial" w:hAnsi="Arial"/>
                <w:b w:val="1"/>
                <w:rtl w:val="0"/>
              </w:rPr>
              <w:t xml:space="preserve">ONLINE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Fonts w:ascii="Arial" w:cs="Arial" w:eastAsia="Arial" w:hAnsi="Arial"/>
                <w:b w:val="1"/>
                <w:rtl w:val="0"/>
              </w:rPr>
              <w:t xml:space="preserve">FACE TO FACE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Fonts w:ascii="Arial" w:cs="Arial" w:eastAsia="Arial" w:hAnsi="Arial"/>
                <w:b w:val="1"/>
                <w:rtl w:val="0"/>
              </w:rPr>
              <w:t xml:space="preserve">HYBRID</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Fonts w:ascii="Arial" w:cs="Arial" w:eastAsia="Arial" w:hAnsi="Arial"/>
                <w:b w:val="1"/>
                <w:rtl w:val="0"/>
              </w:rPr>
              <w:t xml:space="preserve">SYNC</w:t>
            </w:r>
            <w:r w:rsidDel="00000000" w:rsidR="00000000" w:rsidRPr="00000000">
              <w:rPr>
                <w:rtl w:val="0"/>
              </w:rPr>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Unknown Race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20%</w:t>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rsidR="00000000" w:rsidDel="00000000" w:rsidP="00000000" w:rsidRDefault="00000000" w:rsidRPr="00000000" w14:paraId="00000089">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0" distT="0" distL="0" distR="0">
            <wp:extent cx="4177908" cy="5404945"/>
            <wp:effectExtent b="0" l="0" r="0" t="0"/>
            <wp:docPr descr="A graph with numbers and lines&#10;&#10;Description automatically generated" id="2051683064" name="image3.png"/>
            <a:graphic>
              <a:graphicData uri="http://schemas.openxmlformats.org/drawingml/2006/picture">
                <pic:pic>
                  <pic:nvPicPr>
                    <pic:cNvPr descr="A graph with numbers and lines&#10;&#10;Description automatically generated" id="0" name="image3.png"/>
                    <pic:cNvPicPr preferRelativeResize="0"/>
                  </pic:nvPicPr>
                  <pic:blipFill>
                    <a:blip r:embed="rId15"/>
                    <a:srcRect b="0" l="0" r="0" t="0"/>
                    <a:stretch>
                      <a:fillRect/>
                    </a:stretch>
                  </pic:blipFill>
                  <pic:spPr>
                    <a:xfrm>
                      <a:off x="0" y="0"/>
                      <a:ext cx="4177908" cy="5404945"/>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success rate for in person classes had a significant increase from 70% in 2020-2021 to 81% in 2021-2022. After that point it declined down to 72% by 2023-2024 going below synchronous class success rates. Synchronous class success rates remained flat overall only going between 75-78%. Online class success rate were consistently well below in person class success rates even though they fluctuated quite a bit. The success rate for online classes went from 54 to 67% between 2020-2021 and 2022-2023. They then sharply declined to 40% in 2023-2024.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D79EA"/>
  </w:style>
  <w:style w:type="paragraph" w:styleId="Heading1">
    <w:name w:val="heading 1"/>
    <w:basedOn w:val="Normal"/>
    <w:next w:val="Normal"/>
    <w:link w:val="Heading1Char"/>
    <w:uiPriority w:val="9"/>
    <w:qFormat w:val="1"/>
    <w:rsid w:val="00DA7F93"/>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DA7F93"/>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DA7F93"/>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DA7F93"/>
    <w:pPr>
      <w:keepNext w:val="1"/>
      <w:keepLines w:val="1"/>
      <w:spacing w:after="40" w:before="80"/>
      <w:outlineLvl w:val="3"/>
    </w:pPr>
    <w:rPr>
      <w:rFonts w:cstheme="majorBidi" w:eastAsiaTheme="majorEastAsia"/>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DA7F93"/>
    <w:pPr>
      <w:keepNext w:val="1"/>
      <w:keepLines w:val="1"/>
      <w:spacing w:after="40" w:before="80"/>
      <w:outlineLvl w:val="4"/>
    </w:pPr>
    <w:rPr>
      <w:rFonts w:cstheme="majorBidi" w:eastAsiaTheme="majorEastAsia"/>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DA7F93"/>
    <w:pPr>
      <w:keepNext w:val="1"/>
      <w:keepLines w:val="1"/>
      <w:spacing w:after="0" w:before="40"/>
      <w:outlineLvl w:val="5"/>
    </w:pPr>
    <w:rPr>
      <w:rFonts w:cstheme="majorBidi" w:eastAsiaTheme="majorEastAsia"/>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DA7F93"/>
    <w:pPr>
      <w:keepNext w:val="1"/>
      <w:keepLines w:val="1"/>
      <w:spacing w:after="0" w:before="40"/>
      <w:outlineLvl w:val="6"/>
    </w:pPr>
    <w:rPr>
      <w:rFonts w:cstheme="majorBidi" w:eastAsiaTheme="majorEastAsia"/>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DA7F93"/>
    <w:pPr>
      <w:keepNext w:val="1"/>
      <w:keepLines w:val="1"/>
      <w:spacing w:after="0"/>
      <w:outlineLvl w:val="7"/>
    </w:pPr>
    <w:rPr>
      <w:rFonts w:cstheme="majorBidi" w:eastAsiaTheme="majorEastAsia"/>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DA7F93"/>
    <w:pPr>
      <w:keepNext w:val="1"/>
      <w:keepLines w:val="1"/>
      <w:spacing w:after="0"/>
      <w:outlineLvl w:val="8"/>
    </w:pPr>
    <w:rPr>
      <w:rFonts w:cstheme="majorBidi" w:eastAsiaTheme="majorEastAsia"/>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A7F93"/>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DA7F9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A7F9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A7F9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A7F9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A7F9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A7F9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A7F9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A7F9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A7F9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A7F9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DA7F9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A7F93"/>
    <w:pPr>
      <w:spacing w:before="160"/>
      <w:jc w:val="center"/>
    </w:pPr>
    <w:rPr>
      <w:i w:val="1"/>
      <w:iCs w:val="1"/>
      <w:color w:val="404040" w:themeColor="text1" w:themeTint="0000BF"/>
      <w:kern w:val="2"/>
    </w:rPr>
  </w:style>
  <w:style w:type="character" w:styleId="QuoteChar" w:customStyle="1">
    <w:name w:val="Quote Char"/>
    <w:basedOn w:val="DefaultParagraphFont"/>
    <w:link w:val="Quote"/>
    <w:uiPriority w:val="29"/>
    <w:rsid w:val="00DA7F93"/>
    <w:rPr>
      <w:i w:val="1"/>
      <w:iCs w:val="1"/>
      <w:color w:val="404040" w:themeColor="text1" w:themeTint="0000BF"/>
    </w:rPr>
  </w:style>
  <w:style w:type="paragraph" w:styleId="ListParagraph">
    <w:name w:val="List Paragraph"/>
    <w:basedOn w:val="Normal"/>
    <w:uiPriority w:val="34"/>
    <w:qFormat w:val="1"/>
    <w:rsid w:val="00DA7F93"/>
    <w:pPr>
      <w:ind w:left="720"/>
      <w:contextualSpacing w:val="1"/>
    </w:pPr>
    <w:rPr>
      <w:kern w:val="2"/>
    </w:rPr>
  </w:style>
  <w:style w:type="character" w:styleId="IntenseEmphasis">
    <w:name w:val="Intense Emphasis"/>
    <w:basedOn w:val="DefaultParagraphFont"/>
    <w:uiPriority w:val="21"/>
    <w:qFormat w:val="1"/>
    <w:rsid w:val="00DA7F93"/>
    <w:rPr>
      <w:i w:val="1"/>
      <w:iCs w:val="1"/>
      <w:color w:val="0f4761" w:themeColor="accent1" w:themeShade="0000BF"/>
    </w:rPr>
  </w:style>
  <w:style w:type="paragraph" w:styleId="IntenseQuote">
    <w:name w:val="Intense Quote"/>
    <w:basedOn w:val="Normal"/>
    <w:next w:val="Normal"/>
    <w:link w:val="IntenseQuoteChar"/>
    <w:uiPriority w:val="30"/>
    <w:qFormat w:val="1"/>
    <w:rsid w:val="00DA7F9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kern w:val="2"/>
    </w:rPr>
  </w:style>
  <w:style w:type="character" w:styleId="IntenseQuoteChar" w:customStyle="1">
    <w:name w:val="Intense Quote Char"/>
    <w:basedOn w:val="DefaultParagraphFont"/>
    <w:link w:val="IntenseQuote"/>
    <w:uiPriority w:val="30"/>
    <w:rsid w:val="00DA7F93"/>
    <w:rPr>
      <w:i w:val="1"/>
      <w:iCs w:val="1"/>
      <w:color w:val="0f4761" w:themeColor="accent1" w:themeShade="0000BF"/>
    </w:rPr>
  </w:style>
  <w:style w:type="character" w:styleId="IntenseReference">
    <w:name w:val="Intense Reference"/>
    <w:basedOn w:val="DefaultParagraphFont"/>
    <w:uiPriority w:val="32"/>
    <w:qFormat w:val="1"/>
    <w:rsid w:val="00DA7F93"/>
    <w:rPr>
      <w:b w:val="1"/>
      <w:bCs w:val="1"/>
      <w:smallCaps w:val="1"/>
      <w:color w:val="0f4761" w:themeColor="accent1" w:themeShade="0000BF"/>
      <w:spacing w:val="5"/>
    </w:rPr>
  </w:style>
  <w:style w:type="character" w:styleId="Hyperlink">
    <w:name w:val="Hyperlink"/>
    <w:basedOn w:val="DefaultParagraphFont"/>
    <w:uiPriority w:val="99"/>
    <w:unhideWhenUsed w:val="1"/>
    <w:rsid w:val="00307B8A"/>
    <w:rPr>
      <w:color w:val="0000ff"/>
      <w:u w:val="single"/>
    </w:rPr>
  </w:style>
  <w:style w:type="paragraph" w:styleId="FootnoteText">
    <w:name w:val="footnote text"/>
    <w:basedOn w:val="Normal"/>
    <w:link w:val="FootnoteTextChar"/>
    <w:uiPriority w:val="99"/>
    <w:semiHidden w:val="1"/>
    <w:unhideWhenUsed w:val="1"/>
    <w:rsid w:val="00A229F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229FE"/>
    <w:rPr>
      <w:kern w:val="0"/>
      <w:sz w:val="20"/>
      <w:szCs w:val="20"/>
    </w:rPr>
  </w:style>
  <w:style w:type="character" w:styleId="FootnoteReference">
    <w:name w:val="footnote reference"/>
    <w:basedOn w:val="DefaultParagraphFont"/>
    <w:uiPriority w:val="99"/>
    <w:semiHidden w:val="1"/>
    <w:unhideWhenUsed w:val="1"/>
    <w:rsid w:val="00A229FE"/>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fashion_design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COURSE'!$Q$2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COURSE'!$P$3:$P$39</c:f>
              <c:strCache>
                <c:ptCount val="37"/>
                <c:pt idx="0">
                  <c:v>FASH-100</c:v>
                </c:pt>
                <c:pt idx="1">
                  <c:v>FASH-110</c:v>
                </c:pt>
                <c:pt idx="2">
                  <c:v>FASH-111</c:v>
                </c:pt>
                <c:pt idx="3">
                  <c:v>FASH-113</c:v>
                </c:pt>
                <c:pt idx="4">
                  <c:v>FASH-114</c:v>
                </c:pt>
                <c:pt idx="5">
                  <c:v>FASH-115</c:v>
                </c:pt>
                <c:pt idx="6">
                  <c:v>FASH-116</c:v>
                </c:pt>
                <c:pt idx="7">
                  <c:v>FASH-118</c:v>
                </c:pt>
                <c:pt idx="8">
                  <c:v>FASH-122</c:v>
                </c:pt>
                <c:pt idx="9">
                  <c:v>FASH-123</c:v>
                </c:pt>
                <c:pt idx="10">
                  <c:v>FASH-132</c:v>
                </c:pt>
                <c:pt idx="11">
                  <c:v>FASH-133</c:v>
                </c:pt>
                <c:pt idx="12">
                  <c:v>FASH-140</c:v>
                </c:pt>
                <c:pt idx="13">
                  <c:v>FASH-146</c:v>
                </c:pt>
                <c:pt idx="14">
                  <c:v>FASH-150</c:v>
                </c:pt>
                <c:pt idx="15">
                  <c:v>FASH-151</c:v>
                </c:pt>
                <c:pt idx="16">
                  <c:v>FASH-162</c:v>
                </c:pt>
                <c:pt idx="17">
                  <c:v>FASH-163</c:v>
                </c:pt>
                <c:pt idx="18">
                  <c:v>FASH-164</c:v>
                </c:pt>
                <c:pt idx="19">
                  <c:v>FASH-167</c:v>
                </c:pt>
                <c:pt idx="20">
                  <c:v>FASH-168</c:v>
                </c:pt>
                <c:pt idx="21">
                  <c:v>FASH-169</c:v>
                </c:pt>
                <c:pt idx="22">
                  <c:v>FASH-170</c:v>
                </c:pt>
                <c:pt idx="23">
                  <c:v>FASH-171</c:v>
                </c:pt>
                <c:pt idx="24">
                  <c:v>FASH-172</c:v>
                </c:pt>
                <c:pt idx="25">
                  <c:v>FASH-173</c:v>
                </c:pt>
                <c:pt idx="26">
                  <c:v>FASH-175</c:v>
                </c:pt>
                <c:pt idx="27">
                  <c:v>FASH-178</c:v>
                </c:pt>
                <c:pt idx="28">
                  <c:v>FASH-180</c:v>
                </c:pt>
                <c:pt idx="29">
                  <c:v>FASH-195</c:v>
                </c:pt>
                <c:pt idx="30">
                  <c:v>FASH-196</c:v>
                </c:pt>
                <c:pt idx="31">
                  <c:v>FASH-197</c:v>
                </c:pt>
                <c:pt idx="32">
                  <c:v>FASH-199</c:v>
                </c:pt>
                <c:pt idx="33">
                  <c:v>FASH-225</c:v>
                </c:pt>
                <c:pt idx="34">
                  <c:v>FASH-226</c:v>
                </c:pt>
                <c:pt idx="35">
                  <c:v>FASH-672</c:v>
                </c:pt>
                <c:pt idx="36">
                  <c:v>FASH-680CE</c:v>
                </c:pt>
              </c:strCache>
            </c:strRef>
          </c:cat>
          <c:val>
            <c:numRef>
              <c:f>'SUCCESS BY COURSE'!$Q$3:$Q$39</c:f>
              <c:numCache>
                <c:formatCode>#,##0%;\*</c:formatCode>
                <c:ptCount val="37"/>
                <c:pt idx="0">
                  <c:v>0.54545454545454497</c:v>
                </c:pt>
                <c:pt idx="1">
                  <c:v>0.66595744680851099</c:v>
                </c:pt>
                <c:pt idx="2">
                  <c:v>0.74489795918367396</c:v>
                </c:pt>
                <c:pt idx="3">
                  <c:v>0.73809523809523803</c:v>
                </c:pt>
                <c:pt idx="4">
                  <c:v>0.85</c:v>
                </c:pt>
                <c:pt idx="5">
                  <c:v>0.75113122171945701</c:v>
                </c:pt>
                <c:pt idx="6">
                  <c:v>0.75806451612903203</c:v>
                </c:pt>
                <c:pt idx="7">
                  <c:v>0.73991031390134498</c:v>
                </c:pt>
                <c:pt idx="8">
                  <c:v>0.76190476190476197</c:v>
                </c:pt>
                <c:pt idx="9">
                  <c:v>0.85148514851485202</c:v>
                </c:pt>
                <c:pt idx="10">
                  <c:v>0.83333333333333304</c:v>
                </c:pt>
                <c:pt idx="11">
                  <c:v>0.78846153846153799</c:v>
                </c:pt>
                <c:pt idx="12">
                  <c:v>0.893805309734513</c:v>
                </c:pt>
                <c:pt idx="13">
                  <c:v>0.84466019417475702</c:v>
                </c:pt>
                <c:pt idx="14">
                  <c:v>0.60416666666666696</c:v>
                </c:pt>
                <c:pt idx="15">
                  <c:v>0.58904109589041098</c:v>
                </c:pt>
                <c:pt idx="16">
                  <c:v>0.83516483516483497</c:v>
                </c:pt>
                <c:pt idx="17">
                  <c:v>0.84</c:v>
                </c:pt>
                <c:pt idx="18">
                  <c:v>0.59615384615384603</c:v>
                </c:pt>
                <c:pt idx="19">
                  <c:v>0.93333333333333302</c:v>
                </c:pt>
                <c:pt idx="20">
                  <c:v>0.77894736842105305</c:v>
                </c:pt>
                <c:pt idx="21">
                  <c:v>0.67213114754098402</c:v>
                </c:pt>
                <c:pt idx="22">
                  <c:v>0.85897435897435903</c:v>
                </c:pt>
                <c:pt idx="23">
                  <c:v>0.837209302325581</c:v>
                </c:pt>
                <c:pt idx="24">
                  <c:v>0.86046511627906996</c:v>
                </c:pt>
                <c:pt idx="25">
                  <c:v>0.79207920792079201</c:v>
                </c:pt>
                <c:pt idx="26">
                  <c:v>0.64285714285714302</c:v>
                </c:pt>
                <c:pt idx="27">
                  <c:v>0.85714285714285698</c:v>
                </c:pt>
                <c:pt idx="28">
                  <c:v>0.74285714285714299</c:v>
                </c:pt>
                <c:pt idx="29">
                  <c:v>0.86363636363636398</c:v>
                </c:pt>
                <c:pt idx="30">
                  <c:v>0.53571428571428603</c:v>
                </c:pt>
                <c:pt idx="31">
                  <c:v>0.67391304347826098</c:v>
                </c:pt>
                <c:pt idx="32">
                  <c:v>1</c:v>
                </c:pt>
                <c:pt idx="33">
                  <c:v>0.71428571428571397</c:v>
                </c:pt>
                <c:pt idx="34">
                  <c:v>0.54347826086956497</c:v>
                </c:pt>
                <c:pt idx="35">
                  <c:v>0.78571428571428603</c:v>
                </c:pt>
                <c:pt idx="36">
                  <c:v>0.74468085106382997</c:v>
                </c:pt>
              </c:numCache>
            </c:numRef>
          </c:val>
          <c:extLst>
            <c:ext xmlns:c16="http://schemas.microsoft.com/office/drawing/2014/chart" uri="{C3380CC4-5D6E-409C-BE32-E72D297353CC}">
              <c16:uniqueId val="{00000000-9FBD-474B-ACD8-45045C3C158D}"/>
            </c:ext>
          </c:extLst>
        </c:ser>
        <c:ser>
          <c:idx val="1"/>
          <c:order val="1"/>
          <c:tx>
            <c:strRef>
              <c:f>'SUCCESS BY COURSE'!$R$2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COURSE'!$P$3:$P$39</c:f>
              <c:strCache>
                <c:ptCount val="37"/>
                <c:pt idx="0">
                  <c:v>FASH-100</c:v>
                </c:pt>
                <c:pt idx="1">
                  <c:v>FASH-110</c:v>
                </c:pt>
                <c:pt idx="2">
                  <c:v>FASH-111</c:v>
                </c:pt>
                <c:pt idx="3">
                  <c:v>FASH-113</c:v>
                </c:pt>
                <c:pt idx="4">
                  <c:v>FASH-114</c:v>
                </c:pt>
                <c:pt idx="5">
                  <c:v>FASH-115</c:v>
                </c:pt>
                <c:pt idx="6">
                  <c:v>FASH-116</c:v>
                </c:pt>
                <c:pt idx="7">
                  <c:v>FASH-118</c:v>
                </c:pt>
                <c:pt idx="8">
                  <c:v>FASH-122</c:v>
                </c:pt>
                <c:pt idx="9">
                  <c:v>FASH-123</c:v>
                </c:pt>
                <c:pt idx="10">
                  <c:v>FASH-132</c:v>
                </c:pt>
                <c:pt idx="11">
                  <c:v>FASH-133</c:v>
                </c:pt>
                <c:pt idx="12">
                  <c:v>FASH-140</c:v>
                </c:pt>
                <c:pt idx="13">
                  <c:v>FASH-146</c:v>
                </c:pt>
                <c:pt idx="14">
                  <c:v>FASH-150</c:v>
                </c:pt>
                <c:pt idx="15">
                  <c:v>FASH-151</c:v>
                </c:pt>
                <c:pt idx="16">
                  <c:v>FASH-162</c:v>
                </c:pt>
                <c:pt idx="17">
                  <c:v>FASH-163</c:v>
                </c:pt>
                <c:pt idx="18">
                  <c:v>FASH-164</c:v>
                </c:pt>
                <c:pt idx="19">
                  <c:v>FASH-167</c:v>
                </c:pt>
                <c:pt idx="20">
                  <c:v>FASH-168</c:v>
                </c:pt>
                <c:pt idx="21">
                  <c:v>FASH-169</c:v>
                </c:pt>
                <c:pt idx="22">
                  <c:v>FASH-170</c:v>
                </c:pt>
                <c:pt idx="23">
                  <c:v>FASH-171</c:v>
                </c:pt>
                <c:pt idx="24">
                  <c:v>FASH-172</c:v>
                </c:pt>
                <c:pt idx="25">
                  <c:v>FASH-173</c:v>
                </c:pt>
                <c:pt idx="26">
                  <c:v>FASH-175</c:v>
                </c:pt>
                <c:pt idx="27">
                  <c:v>FASH-178</c:v>
                </c:pt>
                <c:pt idx="28">
                  <c:v>FASH-180</c:v>
                </c:pt>
                <c:pt idx="29">
                  <c:v>FASH-195</c:v>
                </c:pt>
                <c:pt idx="30">
                  <c:v>FASH-196</c:v>
                </c:pt>
                <c:pt idx="31">
                  <c:v>FASH-197</c:v>
                </c:pt>
                <c:pt idx="32">
                  <c:v>FASH-199</c:v>
                </c:pt>
                <c:pt idx="33">
                  <c:v>FASH-225</c:v>
                </c:pt>
                <c:pt idx="34">
                  <c:v>FASH-226</c:v>
                </c:pt>
                <c:pt idx="35">
                  <c:v>FASH-672</c:v>
                </c:pt>
                <c:pt idx="36">
                  <c:v>FASH-680CE</c:v>
                </c:pt>
              </c:strCache>
            </c:strRef>
          </c:cat>
          <c:val>
            <c:numRef>
              <c:f>'SUCCESS BY COURSE'!$R$3:$R$39</c:f>
              <c:numCache>
                <c:formatCode>#,##0%;\*</c:formatCode>
                <c:ptCount val="37"/>
                <c:pt idx="0">
                  <c:v>0.32231404958677701</c:v>
                </c:pt>
                <c:pt idx="1">
                  <c:v>0.26382978723404299</c:v>
                </c:pt>
                <c:pt idx="2">
                  <c:v>0.20408163265306101</c:v>
                </c:pt>
                <c:pt idx="3">
                  <c:v>0.125</c:v>
                </c:pt>
                <c:pt idx="4">
                  <c:v>0.13750000000000001</c:v>
                </c:pt>
                <c:pt idx="5">
                  <c:v>0.194570135746606</c:v>
                </c:pt>
                <c:pt idx="6">
                  <c:v>0.14516129032258099</c:v>
                </c:pt>
                <c:pt idx="7">
                  <c:v>0.183856502242152</c:v>
                </c:pt>
                <c:pt idx="8">
                  <c:v>9.5238095238095205E-2</c:v>
                </c:pt>
                <c:pt idx="9">
                  <c:v>4.95049504950495E-2</c:v>
                </c:pt>
                <c:pt idx="10">
                  <c:v>5.5555555555555601E-2</c:v>
                </c:pt>
                <c:pt idx="11">
                  <c:v>0.115384615384615</c:v>
                </c:pt>
                <c:pt idx="12">
                  <c:v>3.5398230088495602E-2</c:v>
                </c:pt>
                <c:pt idx="13">
                  <c:v>8.7378640776699004E-2</c:v>
                </c:pt>
                <c:pt idx="14">
                  <c:v>0.19791666666666699</c:v>
                </c:pt>
                <c:pt idx="15">
                  <c:v>0.19178082191780799</c:v>
                </c:pt>
                <c:pt idx="16">
                  <c:v>0.120879120879121</c:v>
                </c:pt>
                <c:pt idx="17">
                  <c:v>0</c:v>
                </c:pt>
                <c:pt idx="18">
                  <c:v>0.22115384615384601</c:v>
                </c:pt>
                <c:pt idx="19">
                  <c:v>0</c:v>
                </c:pt>
                <c:pt idx="20">
                  <c:v>0.12631578947368399</c:v>
                </c:pt>
                <c:pt idx="21">
                  <c:v>0.16393442622950799</c:v>
                </c:pt>
                <c:pt idx="22">
                  <c:v>0.102564102564103</c:v>
                </c:pt>
                <c:pt idx="23">
                  <c:v>8.1395348837209294E-2</c:v>
                </c:pt>
                <c:pt idx="24">
                  <c:v>6.9767441860465101E-2</c:v>
                </c:pt>
                <c:pt idx="25">
                  <c:v>9.9009900990099001E-2</c:v>
                </c:pt>
                <c:pt idx="26">
                  <c:v>0.14285714285714299</c:v>
                </c:pt>
                <c:pt idx="27">
                  <c:v>0</c:v>
                </c:pt>
                <c:pt idx="28">
                  <c:v>0.2</c:v>
                </c:pt>
                <c:pt idx="29">
                  <c:v>0.13636363636363599</c:v>
                </c:pt>
                <c:pt idx="30">
                  <c:v>0.42857142857142899</c:v>
                </c:pt>
                <c:pt idx="31">
                  <c:v>0.217391304347826</c:v>
                </c:pt>
                <c:pt idx="32">
                  <c:v>0</c:v>
                </c:pt>
                <c:pt idx="33">
                  <c:v>0.14285714285714299</c:v>
                </c:pt>
                <c:pt idx="34">
                  <c:v>0.15217391304347799</c:v>
                </c:pt>
                <c:pt idx="35">
                  <c:v>7.1428571428571397E-2</c:v>
                </c:pt>
                <c:pt idx="36">
                  <c:v>0.21276595744680901</c:v>
                </c:pt>
              </c:numCache>
            </c:numRef>
          </c:val>
          <c:extLst>
            <c:ext xmlns:c16="http://schemas.microsoft.com/office/drawing/2014/chart" uri="{C3380CC4-5D6E-409C-BE32-E72D297353CC}">
              <c16:uniqueId val="{00000001-9FBD-474B-ACD8-45045C3C158D}"/>
            </c:ext>
          </c:extLst>
        </c:ser>
        <c:dLbls>
          <c:dLblPos val="outEnd"/>
          <c:showLegendKey val="0"/>
          <c:showVal val="1"/>
          <c:showCatName val="0"/>
          <c:showSerName val="0"/>
          <c:showPercent val="0"/>
          <c:showBubbleSize val="0"/>
        </c:dLbls>
        <c:gapWidth val="75"/>
        <c:overlap val="-25"/>
        <c:axId val="847193375"/>
        <c:axId val="847193855"/>
      </c:barChart>
      <c:catAx>
        <c:axId val="847193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93855"/>
        <c:crosses val="autoZero"/>
        <c:auto val="1"/>
        <c:lblAlgn val="ctr"/>
        <c:lblOffset val="100"/>
        <c:noMultiLvlLbl val="0"/>
      </c:catAx>
      <c:valAx>
        <c:axId val="8471938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93375"/>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JLsRM0rMS6kAWp0RnhbjGTonA==">CgMxLjAyCGguZ2pkZ3hzOAByITFmbGc5UGpiaWRQMVNuRm5LaWUyakpDNjNJZGpGS2FMRw==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2024-07-22T15:25:00Z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