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Mathematics</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4567238" cy="3693441"/>
            <wp:effectExtent b="0" l="0" r="0" t="0"/>
            <wp:docPr id="170800373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567238" cy="3693441"/>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Enrollments have been trending down in Math overall over the past 5 years. The decline was relatively minimal every year with the exception of the drop in 2023-2024 where it went from 3,098, the academic year prior, to 2,551. Headcount followed roughly the same trajectory going from 2,393 in 2019-2020 to 1,658 in 2023-2024.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drawing>
          <wp:inline distB="114300" distT="114300" distL="114300" distR="114300">
            <wp:extent cx="4452938" cy="3398682"/>
            <wp:effectExtent b="0" l="0" r="0" t="0"/>
            <wp:docPr id="170800373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452938" cy="339868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Section count has also roughly followed the enrollment trend. </w:t>
      </w:r>
    </w:p>
    <w:p w:rsidR="00000000" w:rsidDel="00000000" w:rsidP="00000000" w:rsidRDefault="00000000" w:rsidRPr="00000000" w14:paraId="0000000B">
      <w:pPr>
        <w:rPr/>
      </w:pPr>
      <w:r w:rsidDel="00000000" w:rsidR="00000000" w:rsidRPr="00000000">
        <w:rPr/>
        <w:drawing>
          <wp:inline distB="0" distT="0" distL="0" distR="0">
            <wp:extent cx="4593391" cy="3342967"/>
            <wp:effectExtent b="0" l="0" r="0" t="0"/>
            <wp:docPr descr="A graph with numbers and a line&#10;&#10;Description automatically generated" id="1708003734" name="image6.png"/>
            <a:graphic>
              <a:graphicData uri="http://schemas.openxmlformats.org/drawingml/2006/picture">
                <pic:pic>
                  <pic:nvPicPr>
                    <pic:cNvPr descr="A graph with numbers and a line&#10;&#10;Description automatically generated" id="0" name="image6.png"/>
                    <pic:cNvPicPr preferRelativeResize="0"/>
                  </pic:nvPicPr>
                  <pic:blipFill>
                    <a:blip r:embed="rId10"/>
                    <a:srcRect b="0" l="0" r="0" t="0"/>
                    <a:stretch>
                      <a:fillRect/>
                    </a:stretch>
                  </pic:blipFill>
                  <pic:spPr>
                    <a:xfrm>
                      <a:off x="0" y="0"/>
                      <a:ext cx="4593391" cy="3342967"/>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FTEF has declined consistently every year, going from 25 in 2019-2020 to 20 in 2023-2024. This follows the same trend as enrollment. FTES has consistently gone down every year apart from 2020-2021 where it went from 465.2 in 2019-2020 to 469.3. By 2023-2024, it had reached 371.7.</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drawing>
          <wp:inline distB="114300" distT="114300" distL="114300" distR="114300">
            <wp:extent cx="4633913" cy="3449020"/>
            <wp:effectExtent b="0" l="0" r="0" t="0"/>
            <wp:docPr id="170800373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33913" cy="344902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Load has remained roughly stable over the past five years, much higher than the overall college load of 434 in 2023-24.</w:t>
      </w:r>
    </w:p>
    <w:p w:rsidR="00000000" w:rsidDel="00000000" w:rsidP="00000000" w:rsidRDefault="00000000" w:rsidRPr="00000000" w14:paraId="00000010">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2">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0" distT="0" distL="0" distR="0">
            <wp:extent cx="4103165" cy="4922923"/>
            <wp:effectExtent b="0" l="0" r="0" t="0"/>
            <wp:docPr descr="A graph with blue and orange lines&#10;&#10;Description automatically generated" id="1708003735" name="image3.png"/>
            <a:graphic>
              <a:graphicData uri="http://schemas.openxmlformats.org/drawingml/2006/picture">
                <pic:pic>
                  <pic:nvPicPr>
                    <pic:cNvPr descr="A graph with blue and orange lines&#10;&#10;Description automatically generated" id="0" name="image3.png"/>
                    <pic:cNvPicPr preferRelativeResize="0"/>
                  </pic:nvPicPr>
                  <pic:blipFill>
                    <a:blip r:embed="rId13"/>
                    <a:srcRect b="0" l="0" r="0" t="0"/>
                    <a:stretch>
                      <a:fillRect/>
                    </a:stretch>
                  </pic:blipFill>
                  <pic:spPr>
                    <a:xfrm>
                      <a:off x="0" y="0"/>
                      <a:ext cx="4103165" cy="492292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Success rates have remained relatively flat overall. Although starting in 2021-2022 success rates consistently remained above 70% where before it was below that point. Withdrawals are essentially the same story although there was a more significant decline from 17% to 12% in 2022-2023.</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0" distT="0" distL="0" distR="0">
            <wp:extent cx="5943600" cy="5286375"/>
            <wp:docPr id="1708003729"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minimum withdraw rate was 0% in MATH-695 while the maximum withdraw rate was 28% in Math 811. The minimum success rate was 40% in MATH-145 while the highest was 100% in MATH-695.</w:t>
      </w:r>
    </w:p>
    <w:p w:rsidR="00000000" w:rsidDel="00000000" w:rsidP="00000000" w:rsidRDefault="00000000" w:rsidRPr="00000000" w14:paraId="0000001A">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8B. Student Equity</w:t>
      </w: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rsidR="00000000" w:rsidDel="00000000" w:rsidP="00000000" w:rsidRDefault="00000000" w:rsidRPr="00000000" w14:paraId="0000001C">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D">
      <w:pPr>
        <w:spacing w:after="0" w:before="240"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OVERALL EQUITY</w:t>
      </w:r>
      <w:r w:rsidDel="00000000" w:rsidR="00000000" w:rsidRPr="00000000">
        <w:rPr>
          <w:rtl w:val="0"/>
        </w:rPr>
      </w:r>
    </w:p>
    <w:p w:rsidR="00000000" w:rsidDel="00000000" w:rsidP="00000000" w:rsidRDefault="00000000" w:rsidRPr="00000000" w14:paraId="0000001E">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Mathematics in the most recent academic year (2023-2024)</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Mathematics appear below (see Table 1-3). </w:t>
      </w:r>
    </w:p>
    <w:p w:rsidR="00000000" w:rsidDel="00000000" w:rsidP="00000000" w:rsidRDefault="00000000" w:rsidRPr="00000000" w14:paraId="0000001F">
      <w:pPr>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two student subgroups were underrepresented in Mathematics classes compared to the college-wide population (see Table 1). For instance, female students are underrepresented in Mathematics. The proportion of female students in Mathematics across all course modalities was 11 percentage points lower than the proportion of female students enrolled college-wide.</w:t>
      </w:r>
    </w:p>
    <w:p w:rsidR="00000000" w:rsidDel="00000000" w:rsidP="00000000" w:rsidRDefault="00000000" w:rsidRPr="00000000" w14:paraId="00000022">
      <w:pPr>
        <w:rPr>
          <w:rFonts w:ascii="Arial" w:cs="Arial" w:eastAsia="Arial" w:hAnsi="Arial"/>
          <w:color w:val="000000"/>
        </w:rPr>
      </w:pPr>
      <w:r w:rsidDel="00000000" w:rsidR="00000000" w:rsidRPr="00000000">
        <w:rPr>
          <w:rFonts w:ascii="Arial" w:cs="Arial" w:eastAsia="Arial" w:hAnsi="Arial"/>
          <w:color w:val="000000"/>
          <w:rtl w:val="0"/>
        </w:rPr>
        <w:t xml:space="preserve">Table 1.</w:t>
      </w:r>
    </w:p>
    <w:tbl>
      <w:tblPr>
        <w:tblStyle w:val="Table1"/>
        <w:tblW w:w="4410.0" w:type="dxa"/>
        <w:jc w:val="left"/>
        <w:tblLayout w:type="fixed"/>
        <w:tblLook w:val="0400"/>
      </w:tblPr>
      <w:tblGrid>
        <w:gridCol w:w="2355"/>
        <w:gridCol w:w="2055"/>
        <w:tblGridChange w:id="0">
          <w:tblGrid>
            <w:gridCol w:w="2355"/>
            <w:gridCol w:w="2055"/>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3">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4">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6">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-11%</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Not Low Income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-6%</w:t>
            </w:r>
          </w:p>
        </w:tc>
      </w:tr>
    </w:tbl>
    <w:p w:rsidR="00000000" w:rsidDel="00000000" w:rsidP="00000000" w:rsidRDefault="00000000" w:rsidRPr="00000000" w14:paraId="00000029">
      <w:pPr>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2B">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Mathematics was compared to the overall success rate in Mathematics. The difference between the two rates (the gap) revealed eight subgroups may have been disproportionately impacted (see Table 2). For example, the success rate for Hispanic students in Mathematics was 10 percentage points lower than the overall success rate in Mathematics during the 202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academic year.</w:t>
      </w:r>
    </w:p>
    <w:p w:rsidR="00000000" w:rsidDel="00000000" w:rsidP="00000000" w:rsidRDefault="00000000" w:rsidRPr="00000000" w14:paraId="0000002C">
      <w:pPr>
        <w:rPr>
          <w:rFonts w:ascii="Arial" w:cs="Arial" w:eastAsia="Arial" w:hAnsi="Arial"/>
          <w:color w:val="000000"/>
        </w:rPr>
      </w:pPr>
      <w:r w:rsidDel="00000000" w:rsidR="00000000" w:rsidRPr="00000000">
        <w:rPr>
          <w:rFonts w:ascii="Arial" w:cs="Arial" w:eastAsia="Arial" w:hAnsi="Arial"/>
          <w:color w:val="000000"/>
          <w:rtl w:val="0"/>
        </w:rPr>
        <w:t xml:space="preserve">Table 2.</w:t>
      </w:r>
    </w:p>
    <w:tbl>
      <w:tblPr>
        <w:tblStyle w:val="Table2"/>
        <w:tblW w:w="4455.0" w:type="dxa"/>
        <w:jc w:val="left"/>
        <w:tblLayout w:type="fixed"/>
        <w:tblLook w:val="0400"/>
      </w:tblPr>
      <w:tblGrid>
        <w:gridCol w:w="2775"/>
        <w:gridCol w:w="1680"/>
        <w:tblGridChange w:id="0">
          <w:tblGrid>
            <w:gridCol w:w="2775"/>
            <w:gridCol w:w="168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D">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E">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0">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Female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4">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23-28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-7%</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50-59</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8">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-28%</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-9%</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Foster Youth</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C">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-24%</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Low Income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-8%</w:t>
            </w:r>
          </w:p>
        </w:tc>
      </w:tr>
    </w:tbl>
    <w:p w:rsidR="00000000" w:rsidDel="00000000" w:rsidP="00000000" w:rsidRDefault="00000000" w:rsidRPr="00000000" w14:paraId="0000003F">
      <w:pPr>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Withdraws</w:t>
      </w:r>
    </w:p>
    <w:p w:rsidR="00000000" w:rsidDel="00000000" w:rsidP="00000000" w:rsidRDefault="00000000" w:rsidRPr="00000000" w14:paraId="00000041">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Withdraws is the rate at which a student withdraws from a course, with higher numbers being worse, as they indicate greater withdraw rates. The withdraw rates for subgroups in Mathematics was compared to the overall withdraw rate for the program. Six subgroups had withdraw rates that were significantly higher than the overall rate, suggesting these groups experienced disproportionate impact in Mathematics. First generation students were disproportionately impacted in Mathematics during the 2023-2024 academic year. First generation students had withdraw rates 4 percentage points higher than the average withdraw rate for Mathematics.</w:t>
      </w:r>
    </w:p>
    <w:p w:rsidR="00000000" w:rsidDel="00000000" w:rsidP="00000000" w:rsidRDefault="00000000" w:rsidRPr="00000000" w14:paraId="00000042">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Table 3.</w:t>
      </w:r>
    </w:p>
    <w:tbl>
      <w:tblPr>
        <w:tblStyle w:val="Table3"/>
        <w:tblW w:w="4500.0" w:type="dxa"/>
        <w:jc w:val="left"/>
        <w:tblLayout w:type="fixed"/>
        <w:tblLook w:val="0400"/>
      </w:tblPr>
      <w:tblGrid>
        <w:gridCol w:w="2745"/>
        <w:gridCol w:w="1755"/>
        <w:tblGridChange w:id="0">
          <w:tblGrid>
            <w:gridCol w:w="2745"/>
            <w:gridCol w:w="175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3">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4">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Female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6">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5%</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23-28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8">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6%</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29-39</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A">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12%</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50-59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C">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22%</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E">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Foster Youth</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50">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36%</w:t>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after="240" w:before="240" w:lineRule="auto"/>
        <w:rPr>
          <w:rFonts w:ascii="Arial" w:cs="Arial" w:eastAsia="Arial" w:hAnsi="Arial"/>
          <w:b w:val="1"/>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240" w:befor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EQUITY BY INSTRUCTIONAL MODALITY</w:t>
      </w:r>
    </w:p>
    <w:p w:rsidR="00000000" w:rsidDel="00000000" w:rsidP="00000000" w:rsidRDefault="00000000" w:rsidRPr="00000000" w14:paraId="00000054">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55">
      <w:pPr>
        <w:spacing w:after="240" w:before="240"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Mathematics was compared to the overall success rate in Mathematics. The difference between the two rates (the gap) revealed twenty seven subgroups may have been disproportionately impacted (see Table 1). For example, the success rate for Hispanic students in online classes for Mathematics was 14 points lower than the overall success rate in Mathematics during the 2023-2024 academic year.</w:t>
      </w:r>
    </w:p>
    <w:p w:rsidR="00000000" w:rsidDel="00000000" w:rsidP="00000000" w:rsidRDefault="00000000" w:rsidRPr="00000000" w14:paraId="00000056">
      <w:pPr>
        <w:rPr/>
      </w:pPr>
      <w:r w:rsidDel="00000000" w:rsidR="00000000" w:rsidRPr="00000000">
        <w:rPr>
          <w:rtl w:val="0"/>
        </w:rPr>
        <w:t xml:space="preserve">Table 1.</w:t>
      </w:r>
    </w:p>
    <w:tbl>
      <w:tblPr>
        <w:tblStyle w:val="Table4"/>
        <w:tblW w:w="9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1575"/>
        <w:gridCol w:w="2025"/>
        <w:gridCol w:w="1755"/>
        <w:gridCol w:w="1755"/>
        <w:tblGridChange w:id="0">
          <w:tblGrid>
            <w:gridCol w:w="2685"/>
            <w:gridCol w:w="1575"/>
            <w:gridCol w:w="2025"/>
            <w:gridCol w:w="1755"/>
            <w:gridCol w:w="1755"/>
          </w:tblGrid>
        </w:tblGridChange>
      </w:tblGrid>
      <w:tr>
        <w:trPr>
          <w:cantSplit w:val="0"/>
          <w:trHeight w:val="740" w:hRule="atLeast"/>
          <w:tblHeader w:val="1"/>
        </w:trPr>
        <w:tc>
          <w:tcPr>
            <w:tcBorders>
              <w:top w:color="000000" w:space="0" w:sz="7" w:val="single"/>
              <w:left w:color="000000" w:space="0" w:sz="7"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SubGroup</w:t>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ONLINE</w:t>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FACE TO FACE</w:t>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HYBRID</w:t>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SYNC</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-10%</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Pacific Islander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 - Female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-10%</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 Male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Pacific Islander - Female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-26%</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23-28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40-49</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-22%</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50-59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-37%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-10%</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Low Income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Male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-14%</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 - Male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-14%</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 - Female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 -Male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-16%</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23-28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29-39</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-28%</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First Generation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Full-Time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-15%</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-7%</w:t>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Hispanic -Female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-12%</w:t>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C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Withdraws</w:t>
      </w:r>
    </w:p>
    <w:p w:rsidR="00000000" w:rsidDel="00000000" w:rsidP="00000000" w:rsidRDefault="00000000" w:rsidRPr="00000000" w14:paraId="000000C7">
      <w:pPr>
        <w:spacing w:after="240" w:before="240" w:line="276" w:lineRule="auto"/>
        <w:rPr>
          <w:rFonts w:ascii="Arial" w:cs="Arial" w:eastAsia="Arial" w:hAnsi="Arial"/>
        </w:rPr>
      </w:pPr>
      <w:r w:rsidDel="00000000" w:rsidR="00000000" w:rsidRPr="00000000">
        <w:rPr>
          <w:rFonts w:ascii="Arial" w:cs="Arial" w:eastAsia="Arial" w:hAnsi="Arial"/>
          <w:rtl w:val="0"/>
        </w:rPr>
        <w:t xml:space="preserve">Withdraws is the rate at which a student withdraws from a course, with higher numbers being worse, as they indicate greater withdrawal rates. The withdrawal rates for subgroups in Mathematics was compared to the overall withdrawal rate for the program. Six subgroups had withdrawal rates that were higher than the overall rate, suggesting these groups experienced disproportionate impact in Mathematics. First Generation students were disproportionately impacted in Mathematics during the 2023-2024 academic year. For example, First Generation students in online classes had withdrawal rates 11 percentage points higher than the average withdrawal rate for Mathematics.</w:t>
      </w:r>
    </w:p>
    <w:p w:rsidR="00000000" w:rsidDel="00000000" w:rsidP="00000000" w:rsidRDefault="00000000" w:rsidRPr="00000000" w14:paraId="000000C8">
      <w:pPr>
        <w:rPr/>
      </w:pPr>
      <w:r w:rsidDel="00000000" w:rsidR="00000000" w:rsidRPr="00000000">
        <w:rPr>
          <w:rtl w:val="0"/>
        </w:rPr>
        <w:t xml:space="preserve">Table 2.</w:t>
      </w:r>
    </w:p>
    <w:tbl>
      <w:tblPr>
        <w:tblStyle w:val="Table5"/>
        <w:tblW w:w="9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800"/>
        <w:gridCol w:w="1845"/>
        <w:gridCol w:w="1485"/>
        <w:gridCol w:w="1380"/>
        <w:tblGridChange w:id="0">
          <w:tblGrid>
            <w:gridCol w:w="3045"/>
            <w:gridCol w:w="1800"/>
            <w:gridCol w:w="1845"/>
            <w:gridCol w:w="1485"/>
            <w:gridCol w:w="1380"/>
          </w:tblGrid>
        </w:tblGridChange>
      </w:tblGrid>
      <w:tr>
        <w:trPr>
          <w:cantSplit w:val="0"/>
          <w:trHeight w:val="740" w:hRule="atLeast"/>
          <w:tblHeader w:val="0"/>
        </w:trPr>
        <w:tc>
          <w:tcPr>
            <w:tcBorders>
              <w:top w:color="000000" w:space="0" w:sz="7" w:val="single"/>
              <w:left w:color="000000" w:space="0" w:sz="7"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SubGroup</w:t>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ONLINE</w:t>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FACE TO FACE</w:t>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HYBRID</w:t>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SYNC</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23-28</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8%</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50-59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4%</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29-39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26%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11%</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Full-Time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Fonts w:ascii="Aptos Narrow" w:cs="Aptos Narrow" w:eastAsia="Aptos Narrow" w:hAnsi="Aptos Narrow"/>
                <w:rtl w:val="0"/>
              </w:rPr>
              <w:t xml:space="preserve">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Narrow" w:cs="Aptos Narrow" w:eastAsia="Aptos Narrow" w:hAnsi="Aptos Narrow"/>
              </w:rPr>
            </w:pPr>
            <w:r w:rsidDel="00000000" w:rsidR="00000000" w:rsidRPr="00000000">
              <w:rPr>
                <w:rtl w:val="0"/>
              </w:rPr>
            </w:r>
          </w:p>
        </w:tc>
      </w:tr>
    </w:tbl>
    <w:p w:rsidR="00000000" w:rsidDel="00000000" w:rsidP="00000000" w:rsidRDefault="00000000" w:rsidRPr="00000000" w14:paraId="000000EC">
      <w:pPr>
        <w:spacing w:after="0" w:lineRule="auto"/>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ED">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EE">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jc w:val="center"/>
        <w:rPr/>
      </w:pPr>
      <w:r w:rsidDel="00000000" w:rsidR="00000000" w:rsidRPr="00000000">
        <w:rPr/>
        <w:drawing>
          <wp:inline distB="0" distT="0" distL="0" distR="0">
            <wp:extent cx="4167188" cy="5247909"/>
            <wp:effectExtent b="0" l="0" r="0" t="0"/>
            <wp:docPr descr="A graph of success and growth&#10;&#10;Description automatically generated with medium confidence" id="1708003730" name="image5.png"/>
            <a:graphic>
              <a:graphicData uri="http://schemas.openxmlformats.org/drawingml/2006/picture">
                <pic:pic>
                  <pic:nvPicPr>
                    <pic:cNvPr descr="A graph of success and growth&#10;&#10;Description automatically generated with medium confidence" id="0" name="image5.png"/>
                    <pic:cNvPicPr preferRelativeResize="0"/>
                  </pic:nvPicPr>
                  <pic:blipFill>
                    <a:blip r:embed="rId15"/>
                    <a:srcRect b="0" l="0" r="0" t="0"/>
                    <a:stretch>
                      <a:fillRect/>
                    </a:stretch>
                  </pic:blipFill>
                  <pic:spPr>
                    <a:xfrm>
                      <a:off x="0" y="0"/>
                      <a:ext cx="4167188" cy="5247909"/>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Success rates for in person classes in Mathematics had a significant jump from 67% to 80% between 2020-2021 and 2021-2022. It then declined from that peak to 74% in 2022-2023 and then down to 72% in 2023-2024. Online classes were on a consistent up trend in success rates going from 66% in 2019-2020 to 74% in 2022-2023. However, there was a sharp decline to 68% in 2023-2024. Synchronous class success rates have been on a slow but consistent rise in success going from 67% in 2020-2021 to 71% in 2023-2024.</w:t>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53CF4"/>
  </w:style>
  <w:style w:type="paragraph" w:styleId="Heading1">
    <w:name w:val="heading 1"/>
    <w:basedOn w:val="Normal"/>
    <w:next w:val="Normal"/>
    <w:link w:val="Heading1Char"/>
    <w:uiPriority w:val="9"/>
    <w:qFormat w:val="1"/>
    <w:rsid w:val="00D94CD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94CD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94CD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94CD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94CD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94CD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94CD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94CD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94CD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94CD1"/>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D94CD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94CD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94CD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94CD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94CD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94CD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94CD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94CD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94CD1"/>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94CD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D94CD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94CD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94CD1"/>
    <w:rPr>
      <w:i w:val="1"/>
      <w:iCs w:val="1"/>
      <w:color w:val="404040" w:themeColor="text1" w:themeTint="0000BF"/>
    </w:rPr>
  </w:style>
  <w:style w:type="paragraph" w:styleId="ListParagraph">
    <w:name w:val="List Paragraph"/>
    <w:basedOn w:val="Normal"/>
    <w:uiPriority w:val="34"/>
    <w:qFormat w:val="1"/>
    <w:rsid w:val="00D94CD1"/>
    <w:pPr>
      <w:ind w:left="720"/>
      <w:contextualSpacing w:val="1"/>
    </w:pPr>
  </w:style>
  <w:style w:type="character" w:styleId="IntenseEmphasis">
    <w:name w:val="Intense Emphasis"/>
    <w:basedOn w:val="DefaultParagraphFont"/>
    <w:uiPriority w:val="21"/>
    <w:qFormat w:val="1"/>
    <w:rsid w:val="00D94CD1"/>
    <w:rPr>
      <w:i w:val="1"/>
      <w:iCs w:val="1"/>
      <w:color w:val="0f4761" w:themeColor="accent1" w:themeShade="0000BF"/>
    </w:rPr>
  </w:style>
  <w:style w:type="paragraph" w:styleId="IntenseQuote">
    <w:name w:val="Intense Quote"/>
    <w:basedOn w:val="Normal"/>
    <w:next w:val="Normal"/>
    <w:link w:val="IntenseQuoteChar"/>
    <w:uiPriority w:val="30"/>
    <w:qFormat w:val="1"/>
    <w:rsid w:val="00D94CD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94CD1"/>
    <w:rPr>
      <w:i w:val="1"/>
      <w:iCs w:val="1"/>
      <w:color w:val="0f4761" w:themeColor="accent1" w:themeShade="0000BF"/>
    </w:rPr>
  </w:style>
  <w:style w:type="character" w:styleId="IntenseReference">
    <w:name w:val="Intense Reference"/>
    <w:basedOn w:val="DefaultParagraphFont"/>
    <w:uiPriority w:val="32"/>
    <w:qFormat w:val="1"/>
    <w:rsid w:val="00D94CD1"/>
    <w:rPr>
      <w:b w:val="1"/>
      <w:bCs w:val="1"/>
      <w:smallCaps w:val="1"/>
      <w:color w:val="0f4761" w:themeColor="accent1" w:themeShade="0000BF"/>
      <w:spacing w:val="5"/>
    </w:rPr>
  </w:style>
  <w:style w:type="paragraph" w:styleId="Header">
    <w:name w:val="header"/>
    <w:basedOn w:val="Normal"/>
    <w:link w:val="HeaderChar"/>
    <w:uiPriority w:val="99"/>
    <w:unhideWhenUsed w:val="1"/>
    <w:rsid w:val="00EB41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4102"/>
  </w:style>
  <w:style w:type="paragraph" w:styleId="Footer">
    <w:name w:val="footer"/>
    <w:basedOn w:val="Normal"/>
    <w:link w:val="FooterChar"/>
    <w:uiPriority w:val="99"/>
    <w:unhideWhenUsed w:val="1"/>
    <w:rsid w:val="00EB41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4102"/>
  </w:style>
  <w:style w:type="character" w:styleId="Hyperlink">
    <w:name w:val="Hyperlink"/>
    <w:basedOn w:val="DefaultParagraphFont"/>
    <w:uiPriority w:val="99"/>
    <w:unhideWhenUsed w:val="1"/>
    <w:rsid w:val="003A6E68"/>
    <w:rPr>
      <w:color w:val="0000ff"/>
      <w:u w:val="single"/>
    </w:rPr>
  </w:style>
  <w:style w:type="paragraph" w:styleId="FootnoteText">
    <w:name w:val="footnote text"/>
    <w:basedOn w:val="Normal"/>
    <w:link w:val="FootnoteTextChar"/>
    <w:uiPriority w:val="99"/>
    <w:semiHidden w:val="1"/>
    <w:unhideWhenUsed w:val="1"/>
    <w:rsid w:val="006F6F6D"/>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F6F6D"/>
    <w:rPr>
      <w:kern w:val="0"/>
      <w:sz w:val="20"/>
      <w:szCs w:val="20"/>
    </w:rPr>
  </w:style>
  <w:style w:type="character" w:styleId="FootnoteReference">
    <w:name w:val="footnote reference"/>
    <w:basedOn w:val="DefaultParagraphFont"/>
    <w:uiPriority w:val="99"/>
    <w:semiHidden w:val="1"/>
    <w:unhideWhenUsed w:val="1"/>
    <w:rsid w:val="006F6F6D"/>
    <w:rPr>
      <w:vertAlign w:val="superscrip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hyperlink" Target="https://canadacollege.edu/prie/data-dashbo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chart" Target="charts/chart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mathematics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COURSE'!$R$2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COURSE'!$Q$3:$Q$20</c:f>
              <c:strCache>
                <c:ptCount val="18"/>
                <c:pt idx="0">
                  <c:v>MATH-110</c:v>
                </c:pt>
                <c:pt idx="1">
                  <c:v>MATH-120</c:v>
                </c:pt>
                <c:pt idx="2">
                  <c:v>MATH-145</c:v>
                </c:pt>
                <c:pt idx="3">
                  <c:v>MATH-190</c:v>
                </c:pt>
                <c:pt idx="4">
                  <c:v>MATH-200</c:v>
                </c:pt>
                <c:pt idx="5">
                  <c:v>MATH-225</c:v>
                </c:pt>
                <c:pt idx="6">
                  <c:v>MATH-241</c:v>
                </c:pt>
                <c:pt idx="7">
                  <c:v>MATH-243</c:v>
                </c:pt>
                <c:pt idx="8">
                  <c:v>MATH-251</c:v>
                </c:pt>
                <c:pt idx="9">
                  <c:v>MATH-252</c:v>
                </c:pt>
                <c:pt idx="10">
                  <c:v>MATH-253</c:v>
                </c:pt>
                <c:pt idx="11">
                  <c:v>MATH-270</c:v>
                </c:pt>
                <c:pt idx="12">
                  <c:v>MATH-275</c:v>
                </c:pt>
                <c:pt idx="13">
                  <c:v>MATH-695</c:v>
                </c:pt>
                <c:pt idx="14">
                  <c:v>MATH-800</c:v>
                </c:pt>
                <c:pt idx="15">
                  <c:v>MATH-811</c:v>
                </c:pt>
                <c:pt idx="16">
                  <c:v>MATH-825</c:v>
                </c:pt>
                <c:pt idx="17">
                  <c:v>MATH-841</c:v>
                </c:pt>
              </c:strCache>
            </c:strRef>
          </c:cat>
          <c:val>
            <c:numRef>
              <c:f>'SUCCESS BY COURSE'!$R$3:$R$20</c:f>
              <c:numCache>
                <c:formatCode>#,##0%;\*</c:formatCode>
                <c:ptCount val="18"/>
                <c:pt idx="0">
                  <c:v>0.64693877551020396</c:v>
                </c:pt>
                <c:pt idx="1">
                  <c:v>0.76585365853658505</c:v>
                </c:pt>
                <c:pt idx="2">
                  <c:v>0.4</c:v>
                </c:pt>
                <c:pt idx="3">
                  <c:v>0.608391608391608</c:v>
                </c:pt>
                <c:pt idx="4">
                  <c:v>0.60887531440891096</c:v>
                </c:pt>
                <c:pt idx="5">
                  <c:v>0.62816901408450698</c:v>
                </c:pt>
                <c:pt idx="6">
                  <c:v>0.757692307692308</c:v>
                </c:pt>
                <c:pt idx="7">
                  <c:v>0.94444444444444398</c:v>
                </c:pt>
                <c:pt idx="8">
                  <c:v>0.73750000000000004</c:v>
                </c:pt>
                <c:pt idx="9">
                  <c:v>0.80608052588332002</c:v>
                </c:pt>
                <c:pt idx="10">
                  <c:v>0.76160000000000005</c:v>
                </c:pt>
                <c:pt idx="11">
                  <c:v>0.85380116959064301</c:v>
                </c:pt>
                <c:pt idx="12">
                  <c:v>0.84859813084112201</c:v>
                </c:pt>
                <c:pt idx="13">
                  <c:v>1</c:v>
                </c:pt>
                <c:pt idx="14">
                  <c:v>0.57188498402555898</c:v>
                </c:pt>
                <c:pt idx="15">
                  <c:v>0.65517241379310298</c:v>
                </c:pt>
                <c:pt idx="16">
                  <c:v>0.64040404040403998</c:v>
                </c:pt>
                <c:pt idx="17">
                  <c:v>0.75862068965517204</c:v>
                </c:pt>
              </c:numCache>
            </c:numRef>
          </c:val>
          <c:extLst>
            <c:ext xmlns:c16="http://schemas.microsoft.com/office/drawing/2014/chart" uri="{C3380CC4-5D6E-409C-BE32-E72D297353CC}">
              <c16:uniqueId val="{00000000-8A55-488B-BE1F-E517447817F8}"/>
            </c:ext>
          </c:extLst>
        </c:ser>
        <c:ser>
          <c:idx val="1"/>
          <c:order val="1"/>
          <c:tx>
            <c:strRef>
              <c:f>'SUCCESS BY COURSE'!$S$2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COURSE'!$Q$3:$Q$20</c:f>
              <c:strCache>
                <c:ptCount val="18"/>
                <c:pt idx="0">
                  <c:v>MATH-110</c:v>
                </c:pt>
                <c:pt idx="1">
                  <c:v>MATH-120</c:v>
                </c:pt>
                <c:pt idx="2">
                  <c:v>MATH-145</c:v>
                </c:pt>
                <c:pt idx="3">
                  <c:v>MATH-190</c:v>
                </c:pt>
                <c:pt idx="4">
                  <c:v>MATH-200</c:v>
                </c:pt>
                <c:pt idx="5">
                  <c:v>MATH-225</c:v>
                </c:pt>
                <c:pt idx="6">
                  <c:v>MATH-241</c:v>
                </c:pt>
                <c:pt idx="7">
                  <c:v>MATH-243</c:v>
                </c:pt>
                <c:pt idx="8">
                  <c:v>MATH-251</c:v>
                </c:pt>
                <c:pt idx="9">
                  <c:v>MATH-252</c:v>
                </c:pt>
                <c:pt idx="10">
                  <c:v>MATH-253</c:v>
                </c:pt>
                <c:pt idx="11">
                  <c:v>MATH-270</c:v>
                </c:pt>
                <c:pt idx="12">
                  <c:v>MATH-275</c:v>
                </c:pt>
                <c:pt idx="13">
                  <c:v>MATH-695</c:v>
                </c:pt>
                <c:pt idx="14">
                  <c:v>MATH-800</c:v>
                </c:pt>
                <c:pt idx="15">
                  <c:v>MATH-811</c:v>
                </c:pt>
                <c:pt idx="16">
                  <c:v>MATH-825</c:v>
                </c:pt>
                <c:pt idx="17">
                  <c:v>MATH-841</c:v>
                </c:pt>
              </c:strCache>
            </c:strRef>
          </c:cat>
          <c:val>
            <c:numRef>
              <c:f>'SUCCESS BY COURSE'!$S$3:$S$20</c:f>
              <c:numCache>
                <c:formatCode>#,##0%;\*</c:formatCode>
                <c:ptCount val="18"/>
                <c:pt idx="0">
                  <c:v>0.26734693877551002</c:v>
                </c:pt>
                <c:pt idx="1">
                  <c:v>0.17951219512195099</c:v>
                </c:pt>
                <c:pt idx="2">
                  <c:v>0.14285714285714299</c:v>
                </c:pt>
                <c:pt idx="3">
                  <c:v>0.132867132867133</c:v>
                </c:pt>
                <c:pt idx="4">
                  <c:v>0.18792669780812099</c:v>
                </c:pt>
                <c:pt idx="5">
                  <c:v>0.183098591549296</c:v>
                </c:pt>
                <c:pt idx="6">
                  <c:v>0.136538461538462</c:v>
                </c:pt>
                <c:pt idx="7">
                  <c:v>5.5555555555555601E-2</c:v>
                </c:pt>
                <c:pt idx="8">
                  <c:v>0.14687500000000001</c:v>
                </c:pt>
                <c:pt idx="9">
                  <c:v>0.106820049301561</c:v>
                </c:pt>
                <c:pt idx="10">
                  <c:v>0.1232</c:v>
                </c:pt>
                <c:pt idx="11">
                  <c:v>8.7719298245614002E-2</c:v>
                </c:pt>
                <c:pt idx="12">
                  <c:v>8.4112149532710304E-2</c:v>
                </c:pt>
                <c:pt idx="13">
                  <c:v>0</c:v>
                </c:pt>
                <c:pt idx="14">
                  <c:v>0.177848775292865</c:v>
                </c:pt>
                <c:pt idx="15">
                  <c:v>0.27586206896551702</c:v>
                </c:pt>
                <c:pt idx="16">
                  <c:v>0.163636363636364</c:v>
                </c:pt>
                <c:pt idx="17">
                  <c:v>0.15172413793103401</c:v>
                </c:pt>
              </c:numCache>
            </c:numRef>
          </c:val>
          <c:extLst>
            <c:ext xmlns:c16="http://schemas.microsoft.com/office/drawing/2014/chart" uri="{C3380CC4-5D6E-409C-BE32-E72D297353CC}">
              <c16:uniqueId val="{00000001-8A55-488B-BE1F-E517447817F8}"/>
            </c:ext>
          </c:extLst>
        </c:ser>
        <c:dLbls>
          <c:dLblPos val="outEnd"/>
          <c:showLegendKey val="0"/>
          <c:showVal val="1"/>
          <c:showCatName val="0"/>
          <c:showSerName val="0"/>
          <c:showPercent val="0"/>
          <c:showBubbleSize val="0"/>
        </c:dLbls>
        <c:gapWidth val="75"/>
        <c:overlap val="-25"/>
        <c:axId val="118925519"/>
        <c:axId val="118912079"/>
      </c:barChart>
      <c:catAx>
        <c:axId val="1189255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12079"/>
        <c:crosses val="autoZero"/>
        <c:auto val="1"/>
        <c:lblAlgn val="ctr"/>
        <c:lblOffset val="100"/>
        <c:noMultiLvlLbl val="0"/>
      </c:catAx>
      <c:valAx>
        <c:axId val="1189120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5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O/+DtSXv++Xia93ooSfLHELb0g==">CgMxLjAyCGguZ2pkZ3hzOAByITFFc19XdnZkZ1c0LTBFRnQ1UWYtY08wMFFUbmdYQ3d2NQ==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2024-07-22T14:59:00Z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