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Physics</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3">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5">
      <w:pPr>
        <w:rPr/>
      </w:pPr>
      <w:r w:rsidDel="00000000" w:rsidR="00000000" w:rsidRPr="00000000">
        <w:rPr/>
        <w:drawing>
          <wp:inline distB="0" distT="0" distL="0" distR="0">
            <wp:extent cx="4743926" cy="3250860"/>
            <wp:effectExtent b="0" l="0" r="0" t="0"/>
            <wp:docPr id="161938631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743926" cy="325086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Overall enrollments in Physics rose quite significantly between 2020-2021 and 2022-2023 going from 249 to 680. It then declined steeply between 2022-2023 and 2023-2024 from 680 to 385. Headcount has steadily increased from 168 to 288 between 2019-2020 and 2023-2024.</w:t>
      </w:r>
    </w:p>
    <w:p w:rsidR="00000000" w:rsidDel="00000000" w:rsidP="00000000" w:rsidRDefault="00000000" w:rsidRPr="00000000" w14:paraId="00000007">
      <w:pPr>
        <w:rPr/>
      </w:pPr>
      <w:r w:rsidDel="00000000" w:rsidR="00000000" w:rsidRPr="00000000">
        <w:rPr/>
        <w:drawing>
          <wp:inline distB="0" distT="0" distL="0" distR="0">
            <wp:extent cx="4269546" cy="3177527"/>
            <wp:effectExtent b="0" l="0" r="0" t="0"/>
            <wp:docPr descr="A graph with numbers and a line&#10;&#10;Description automatically generated" id="1619386322" name="image3.png"/>
            <a:graphic>
              <a:graphicData uri="http://schemas.openxmlformats.org/drawingml/2006/picture">
                <pic:pic>
                  <pic:nvPicPr>
                    <pic:cNvPr descr="A graph with numbers and a line&#10;&#10;Description automatically generated" id="0" name="image3.png"/>
                    <pic:cNvPicPr preferRelativeResize="0"/>
                  </pic:nvPicPr>
                  <pic:blipFill>
                    <a:blip r:embed="rId9"/>
                    <a:srcRect b="0" l="0" r="0" t="0"/>
                    <a:stretch>
                      <a:fillRect/>
                    </a:stretch>
                  </pic:blipFill>
                  <pic:spPr>
                    <a:xfrm>
                      <a:off x="0" y="0"/>
                      <a:ext cx="4269546" cy="317752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FTEF is roughly in line with the enrollment trend. FTEF rose between 2019-2020 and 2022-2023 from 3 to 7. It then sharply decreased in 2023-2024 from 7 to 4. FTES rose from 40 to 119 between 2019-2020 to 119 in 2022-2023. It then fell to 76 in 2023-2024.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0" distT="0" distL="0" distR="0">
            <wp:extent cx="4301832" cy="3249354"/>
            <wp:effectExtent b="0" l="0" r="0" t="0"/>
            <wp:docPr descr="A graph with a line and a blue line&#10;&#10;Description automatically generated" id="1619386321" name="image2.png"/>
            <a:graphic>
              <a:graphicData uri="http://schemas.openxmlformats.org/drawingml/2006/picture">
                <pic:pic>
                  <pic:nvPicPr>
                    <pic:cNvPr descr="A graph with a line and a blue line&#10;&#10;Description automatically generated" id="0" name="image2.png"/>
                    <pic:cNvPicPr preferRelativeResize="0"/>
                  </pic:nvPicPr>
                  <pic:blipFill>
                    <a:blip r:embed="rId10"/>
                    <a:srcRect b="0" l="0" r="0" t="0"/>
                    <a:stretch>
                      <a:fillRect/>
                    </a:stretch>
                  </pic:blipFill>
                  <pic:spPr>
                    <a:xfrm>
                      <a:off x="0" y="0"/>
                      <a:ext cx="4301832" cy="3249354"/>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Section Count has remained constant with the exception of 2019-2020 where it was 11 instead of 12.</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114300" distT="114300" distL="114300" distR="114300">
            <wp:extent cx="5791200" cy="4391025"/>
            <wp:effectExtent b="0" l="0" r="0" t="0"/>
            <wp:docPr id="1619386320"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791200" cy="4391025"/>
                    </a:xfrm>
                    <a:prstGeom prst="rect"/>
                    <a:ln/>
                  </pic:spPr>
                </pic:pic>
              </a:graphicData>
            </a:graphic>
          </wp:inline>
        </w:drawing>
      </w:r>
      <w:r w:rsidDel="00000000" w:rsidR="00000000" w:rsidRPr="00000000">
        <w:rPr>
          <w:rtl w:val="0"/>
        </w:rPr>
        <w:t xml:space="preserve">Load in the Physics Department has improved steadily over the past five years. This is particularly pronounced for Physics 210 asynchronous. In 2023-24, Physics 260 also did well face-to-face with a fill rate of 144%.</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1">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2">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drawing>
          <wp:inline distB="0" distT="0" distL="0" distR="0">
            <wp:extent cx="3982032" cy="4845657"/>
            <wp:effectExtent b="0" l="0" r="0" t="0"/>
            <wp:docPr descr="A graph with a line and a line graph&#10;&#10;Description automatically generated with medium confidence" id="1619386323" name="image4.png"/>
            <a:graphic>
              <a:graphicData uri="http://schemas.openxmlformats.org/drawingml/2006/picture">
                <pic:pic>
                  <pic:nvPicPr>
                    <pic:cNvPr descr="A graph with a line and a line graph&#10;&#10;Description automatically generated with medium confidence" id="0" name="image4.png"/>
                    <pic:cNvPicPr preferRelativeResize="0"/>
                  </pic:nvPicPr>
                  <pic:blipFill>
                    <a:blip r:embed="rId13"/>
                    <a:srcRect b="0" l="0" r="0" t="0"/>
                    <a:stretch>
                      <a:fillRect/>
                    </a:stretch>
                  </pic:blipFill>
                  <pic:spPr>
                    <a:xfrm>
                      <a:off x="0" y="0"/>
                      <a:ext cx="3982032" cy="4845657"/>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success rate appears to be relatively stable although trending downwards slightly. The success rate went from 80% to 74% between 2019-2020 to 2023-2024. The withdrawal rate was flat between 2019-2020 and 2021-2022. It then picked up to 19% in 2022-2023 and then 21% in 2023-2024.</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drawing>
          <wp:inline distB="0" distT="0" distL="0" distR="0">
            <wp:extent cx="5405438" cy="4138613"/>
            <wp:docPr id="1619386317"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Physics 250 had the lowest success rate of 51% and highest withdraw rate of 33%. Physics 405 and 270 had the lowest withdraw rate of 4%. Physics 405 has the highest success rate of 95%.</w:t>
      </w:r>
    </w:p>
    <w:p w:rsidR="00000000" w:rsidDel="00000000" w:rsidP="00000000" w:rsidRDefault="00000000" w:rsidRPr="00000000" w14:paraId="00000019">
      <w:pPr>
        <w:rPr/>
      </w:pPr>
      <w:r w:rsidDel="00000000" w:rsidR="00000000" w:rsidRPr="00000000">
        <w:rPr>
          <w:rtl w:val="0"/>
        </w:rPr>
        <w:t xml:space="preserve">See also the Course Enrollment Report on the PRE Data Dashboards and Packets website.</w:t>
      </w:r>
    </w:p>
    <w:p w:rsidR="00000000" w:rsidDel="00000000" w:rsidP="00000000" w:rsidRDefault="00000000" w:rsidRPr="00000000" w14:paraId="0000001A">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8B. Student Equity</w:t>
      </w: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b w:val="1"/>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r w:rsidDel="00000000" w:rsidR="00000000" w:rsidRPr="00000000">
        <w:rPr>
          <w:rtl w:val="0"/>
        </w:rPr>
      </w:r>
    </w:p>
    <w:p w:rsidR="00000000" w:rsidDel="00000000" w:rsidP="00000000" w:rsidRDefault="00000000" w:rsidRPr="00000000" w14:paraId="0000001C">
      <w:pPr>
        <w:spacing w:after="0" w:before="240" w:lineRule="auto"/>
        <w:rPr>
          <w:rFonts w:ascii="Arial" w:cs="Arial" w:eastAsia="Arial" w:hAnsi="Arial"/>
          <w:b w:val="1"/>
        </w:rPr>
      </w:pPr>
      <w:r w:rsidDel="00000000" w:rsidR="00000000" w:rsidRPr="00000000">
        <w:rPr>
          <w:rFonts w:ascii="Arial" w:cs="Arial" w:eastAsia="Arial" w:hAnsi="Arial"/>
          <w:b w:val="1"/>
          <w:rtl w:val="0"/>
        </w:rPr>
        <w:t xml:space="preserve">OVERALL EQUITY</w:t>
      </w:r>
    </w:p>
    <w:p w:rsidR="00000000" w:rsidDel="00000000" w:rsidP="00000000" w:rsidRDefault="00000000" w:rsidRPr="00000000" w14:paraId="0000001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Physics in the most recent academic year (2022-2023)</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Physics appear below (see Table 1-3). </w:t>
      </w:r>
    </w:p>
    <w:p w:rsidR="00000000" w:rsidDel="00000000" w:rsidP="00000000" w:rsidRDefault="00000000" w:rsidRPr="00000000" w14:paraId="0000001F">
      <w:pPr>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21">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three student subgroups were underrepresented in Physics classes compared to the college-wide population (see Table 1). For instance, female students are underrepresented in Physics. The proportion of female students in Physics across all course modalities was 23 percentage points lower than the proportion of female students enrolled college-wide.</w:t>
      </w:r>
    </w:p>
    <w:p w:rsidR="00000000" w:rsidDel="00000000" w:rsidP="00000000" w:rsidRDefault="00000000" w:rsidRPr="00000000" w14:paraId="00000022">
      <w:pPr>
        <w:spacing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1"/>
        <w:tblW w:w="5100.0" w:type="dxa"/>
        <w:jc w:val="left"/>
        <w:tblLayout w:type="fixed"/>
        <w:tblLook w:val="0400"/>
      </w:tblPr>
      <w:tblGrid>
        <w:gridCol w:w="2190"/>
        <w:gridCol w:w="2910"/>
        <w:tblGridChange w:id="0">
          <w:tblGrid>
            <w:gridCol w:w="2190"/>
            <w:gridCol w:w="291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3">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4">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6">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-23%</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-12%</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A">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-9%</w:t>
            </w:r>
          </w:p>
        </w:tc>
      </w:tr>
    </w:tbl>
    <w:p w:rsidR="00000000" w:rsidDel="00000000" w:rsidP="00000000" w:rsidRDefault="00000000" w:rsidRPr="00000000" w14:paraId="0000002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2D">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Physics was compared to the overall success rate in Physics. The difference between the two rates (the gap) revealed two subgroups may have been disproportionately impacted (see Table 2). For example, the success rate for Hispanic male students in Physics was 13.3 percentage points lower than the overall success rate in Physics during the 2023-2024 academic year.</w:t>
      </w:r>
    </w:p>
    <w:p w:rsidR="00000000" w:rsidDel="00000000" w:rsidP="00000000" w:rsidRDefault="00000000" w:rsidRPr="00000000" w14:paraId="0000002E">
      <w:pPr>
        <w:rPr>
          <w:rFonts w:ascii="Arial" w:cs="Arial" w:eastAsia="Arial" w:hAnsi="Arial"/>
          <w:color w:val="000000"/>
        </w:rPr>
      </w:pPr>
      <w:r w:rsidDel="00000000" w:rsidR="00000000" w:rsidRPr="00000000">
        <w:rPr>
          <w:rFonts w:ascii="Arial" w:cs="Arial" w:eastAsia="Arial" w:hAnsi="Arial"/>
          <w:color w:val="000000"/>
          <w:rtl w:val="0"/>
        </w:rPr>
        <w:t xml:space="preserve">Table 2.</w:t>
      </w:r>
    </w:p>
    <w:tbl>
      <w:tblPr>
        <w:tblStyle w:val="Table2"/>
        <w:tblW w:w="3510.0" w:type="dxa"/>
        <w:jc w:val="left"/>
        <w:tblLayout w:type="fixed"/>
        <w:tblLook w:val="0400"/>
      </w:tblPr>
      <w:tblGrid>
        <w:gridCol w:w="2160"/>
        <w:gridCol w:w="1350"/>
        <w:tblGridChange w:id="0">
          <w:tblGrid>
            <w:gridCol w:w="2160"/>
            <w:gridCol w:w="135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F">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0">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2">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-15%</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Male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4">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-13%</w:t>
            </w:r>
          </w:p>
        </w:tc>
      </w:tr>
    </w:tbl>
    <w:p w:rsidR="00000000" w:rsidDel="00000000" w:rsidP="00000000" w:rsidRDefault="00000000" w:rsidRPr="00000000" w14:paraId="00000035">
      <w:pPr>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Withdraws</w:t>
      </w:r>
    </w:p>
    <w:p w:rsidR="00000000" w:rsidDel="00000000" w:rsidP="00000000" w:rsidRDefault="00000000" w:rsidRPr="00000000" w14:paraId="00000037">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Withdraws is the rate at which a student withdraws from a course, with higher numbers being worse, as they indicate greater withdraw rates. The withdraw rates for subgroups in Physics was compared to the overall withdraw rate for the program. One subgroup had withdraw rates that were significantly higher than the overall rate, suggesting this group experienced disproportionate impact in Physics. Hispanic students were disproportionately impacted in Physics during the 2023-2024 academic year. Hispanic students had withdraw rates 11 percentage points higher than the average withdraw rate for Physics.</w:t>
      </w:r>
    </w:p>
    <w:tbl>
      <w:tblPr>
        <w:tblStyle w:val="Table3"/>
        <w:tblW w:w="2457.0" w:type="dxa"/>
        <w:jc w:val="left"/>
        <w:tblLayout w:type="fixed"/>
        <w:tblLook w:val="0400"/>
      </w:tblPr>
      <w:tblGrid>
        <w:gridCol w:w="1437"/>
        <w:gridCol w:w="1020"/>
        <w:tblGridChange w:id="0">
          <w:tblGrid>
            <w:gridCol w:w="1437"/>
            <w:gridCol w:w="102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8">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39">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B">
            <w:pPr>
              <w:spacing w:after="0" w:line="240" w:lineRule="auto"/>
              <w:jc w:val="right"/>
              <w:rPr>
                <w:rFonts w:ascii="Aptos Narrow" w:cs="Aptos Narrow" w:eastAsia="Aptos Narrow" w:hAnsi="Aptos Narrow"/>
              </w:rPr>
            </w:pPr>
            <w:r w:rsidDel="00000000" w:rsidR="00000000" w:rsidRPr="00000000">
              <w:rPr>
                <w:rFonts w:ascii="Aptos Narrow" w:cs="Aptos Narrow" w:eastAsia="Aptos Narrow" w:hAnsi="Aptos Narrow"/>
                <w:color w:val="000000"/>
                <w:rtl w:val="0"/>
              </w:rPr>
              <w:t xml:space="preserve">11%</w:t>
            </w:r>
            <w:r w:rsidDel="00000000" w:rsidR="00000000" w:rsidRPr="00000000">
              <w:rPr>
                <w:rtl w:val="0"/>
              </w:rPr>
            </w:r>
          </w:p>
        </w:tc>
      </w:tr>
    </w:tbl>
    <w:p w:rsidR="00000000" w:rsidDel="00000000" w:rsidP="00000000" w:rsidRDefault="00000000" w:rsidRPr="00000000" w14:paraId="0000003C">
      <w:pPr>
        <w:spacing w:after="240" w:befor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EQUITY BY INSTRUCTIONAL MODALITY</w:t>
      </w:r>
    </w:p>
    <w:p w:rsidR="00000000" w:rsidDel="00000000" w:rsidP="00000000" w:rsidRDefault="00000000" w:rsidRPr="00000000" w14:paraId="0000003D">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3E">
      <w:pPr>
        <w:spacing w:after="240" w:before="240"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Physics was compared to the overall success rate in Physics. The difference between the two rates (the gap) revealed two subgroups may have been disproportionately impacted (see Table 1). For example, the success rate for Hispanic students in Face to Face classes for Physics was 19 points lower than the overall success rate in Physics during the 2023-2024 academic year.</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Table 1.</w:t>
      </w:r>
    </w:p>
    <w:tbl>
      <w:tblPr>
        <w:tblStyle w:val="Table4"/>
        <w:tblW w:w="6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5"/>
        <w:gridCol w:w="1220"/>
        <w:gridCol w:w="1730"/>
        <w:gridCol w:w="1220"/>
        <w:gridCol w:w="1220"/>
        <w:tblGridChange w:id="0">
          <w:tblGrid>
            <w:gridCol w:w="1415"/>
            <w:gridCol w:w="1220"/>
            <w:gridCol w:w="1730"/>
            <w:gridCol w:w="1220"/>
            <w:gridCol w:w="1220"/>
          </w:tblGrid>
        </w:tblGridChange>
      </w:tblGrid>
      <w:tr>
        <w:trPr>
          <w:cantSplit w:val="0"/>
          <w:trHeight w:val="740" w:hRule="atLeast"/>
          <w:tblHeader w:val="0"/>
        </w:trPr>
        <w:tc>
          <w:tcPr>
            <w:tcBorders>
              <w:top w:color="000000" w:space="0" w:sz="7" w:val="single"/>
              <w:left w:color="000000" w:space="0" w:sz="7"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rtl w:val="0"/>
              </w:rPr>
              <w:t xml:space="preserve">SubGroup</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b w:val="1"/>
                <w:rtl w:val="0"/>
              </w:rPr>
              <w:t xml:space="preserve">ONLINE</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b w:val="1"/>
                <w:rtl w:val="0"/>
              </w:rPr>
              <w:t xml:space="preserve">FACE TO FACE</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rtl w:val="0"/>
              </w:rPr>
              <w:t xml:space="preserve">HYBRID</w:t>
            </w:r>
            <w:r w:rsidDel="00000000" w:rsidR="00000000" w:rsidRPr="00000000">
              <w:rPr>
                <w:rtl w:val="0"/>
              </w:rPr>
            </w:r>
          </w:p>
        </w:tc>
        <w:tc>
          <w:tcPr>
            <w:tcBorders>
              <w:top w:color="000000" w:space="0" w:sz="7" w:val="single"/>
              <w:left w:color="000000" w:space="0" w:sz="4" w:val="single"/>
              <w:bottom w:color="000000" w:space="0" w:sz="7" w:val="single"/>
              <w:right w:color="000000" w:space="0" w:sz="7"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b w:val="1"/>
                <w:rtl w:val="0"/>
              </w:rPr>
              <w:t xml:space="preserve">SYNC</w:t>
            </w: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Hispanic</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6">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9">
            <w:pPr>
              <w:rPr>
                <w:rFonts w:ascii="Arial" w:cs="Arial" w:eastAsia="Arial" w:hAnsi="Arial"/>
              </w:rPr>
            </w:pPr>
            <w:r w:rsidDel="00000000" w:rsidR="00000000" w:rsidRPr="00000000">
              <w:rPr>
                <w:rtl w:val="0"/>
              </w:rPr>
            </w:r>
          </w:p>
        </w:tc>
      </w:tr>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Hispanic - Male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D">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E">
            <w:pPr>
              <w:rPr>
                <w:rFonts w:ascii="Arial" w:cs="Arial" w:eastAsia="Arial" w:hAnsi="Arial"/>
              </w:rPr>
            </w:pPr>
            <w:r w:rsidDel="00000000" w:rsidR="00000000" w:rsidRPr="00000000">
              <w:rPr>
                <w:rtl w:val="0"/>
              </w:rPr>
            </w:r>
          </w:p>
        </w:tc>
      </w:tr>
    </w:tbl>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5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rsidR="00000000" w:rsidDel="00000000" w:rsidP="00000000" w:rsidRDefault="00000000" w:rsidRPr="00000000" w14:paraId="00000053">
      <w:pPr>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rPr>
      </w:pPr>
      <w:r w:rsidDel="00000000" w:rsidR="00000000" w:rsidRPr="00000000">
        <w:rPr>
          <w:rFonts w:ascii="Arial" w:cs="Arial" w:eastAsia="Arial" w:hAnsi="Arial"/>
          <w:color w:val="000000"/>
        </w:rPr>
        <w:drawing>
          <wp:inline distB="0" distT="0" distL="0" distR="0">
            <wp:extent cx="4612892" cy="6050478"/>
            <wp:effectExtent b="0" l="0" r="0" t="0"/>
            <wp:docPr descr="A graph with numbers and lines&#10;&#10;Description automatically generated" id="1619386318" name="image5.png"/>
            <a:graphic>
              <a:graphicData uri="http://schemas.openxmlformats.org/drawingml/2006/picture">
                <pic:pic>
                  <pic:nvPicPr>
                    <pic:cNvPr descr="A graph with numbers and lines&#10;&#10;Description automatically generated" id="0" name="image5.png"/>
                    <pic:cNvPicPr preferRelativeResize="0"/>
                  </pic:nvPicPr>
                  <pic:blipFill>
                    <a:blip r:embed="rId15"/>
                    <a:srcRect b="0" l="0" r="0" t="0"/>
                    <a:stretch>
                      <a:fillRect/>
                    </a:stretch>
                  </pic:blipFill>
                  <pic:spPr>
                    <a:xfrm>
                      <a:off x="0" y="0"/>
                      <a:ext cx="4612892" cy="6050478"/>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overall success rate for online courses in Physics has remained steady and high for the most part. There was a small but notable increase in success in 2021-2022 from 86% to 89% and then a decline past that all the way down to 83% in 2023-2024. The success rate for face to face classes on the other hand, has fluctuated quite a bit. In 2019-2020, face to face classes had an all time high success rate of 80%. It then steadily dipped down to 70% between then and 2021-2022. In 2022-2023 it sharply dropped to 51% and recovered to 77% in 2023-2024. The success rate for synchronous classes was the most inconsistent, going from 59% to 76% in 2021-2022. It then dropped to 38% in 2022-2023 and rose to 44% in 2023-2024.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53B27"/>
  </w:style>
  <w:style w:type="paragraph" w:styleId="Heading1">
    <w:name w:val="heading 1"/>
    <w:basedOn w:val="Normal"/>
    <w:next w:val="Normal"/>
    <w:link w:val="Heading1Char"/>
    <w:uiPriority w:val="9"/>
    <w:qFormat w:val="1"/>
    <w:rsid w:val="000422B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422B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422B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422B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422B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422B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422B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422B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422B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422B4"/>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0422B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422B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422B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422B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422B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422B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422B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422B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422B4"/>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0422B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0422B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422B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422B4"/>
    <w:rPr>
      <w:i w:val="1"/>
      <w:iCs w:val="1"/>
      <w:color w:val="404040" w:themeColor="text1" w:themeTint="0000BF"/>
    </w:rPr>
  </w:style>
  <w:style w:type="paragraph" w:styleId="ListParagraph">
    <w:name w:val="List Paragraph"/>
    <w:basedOn w:val="Normal"/>
    <w:uiPriority w:val="34"/>
    <w:qFormat w:val="1"/>
    <w:rsid w:val="000422B4"/>
    <w:pPr>
      <w:ind w:left="720"/>
      <w:contextualSpacing w:val="1"/>
    </w:pPr>
  </w:style>
  <w:style w:type="character" w:styleId="IntenseEmphasis">
    <w:name w:val="Intense Emphasis"/>
    <w:basedOn w:val="DefaultParagraphFont"/>
    <w:uiPriority w:val="21"/>
    <w:qFormat w:val="1"/>
    <w:rsid w:val="000422B4"/>
    <w:rPr>
      <w:i w:val="1"/>
      <w:iCs w:val="1"/>
      <w:color w:val="0f4761" w:themeColor="accent1" w:themeShade="0000BF"/>
    </w:rPr>
  </w:style>
  <w:style w:type="paragraph" w:styleId="IntenseQuote">
    <w:name w:val="Intense Quote"/>
    <w:basedOn w:val="Normal"/>
    <w:next w:val="Normal"/>
    <w:link w:val="IntenseQuoteChar"/>
    <w:uiPriority w:val="30"/>
    <w:qFormat w:val="1"/>
    <w:rsid w:val="000422B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422B4"/>
    <w:rPr>
      <w:i w:val="1"/>
      <w:iCs w:val="1"/>
      <w:color w:val="0f4761" w:themeColor="accent1" w:themeShade="0000BF"/>
    </w:rPr>
  </w:style>
  <w:style w:type="character" w:styleId="IntenseReference">
    <w:name w:val="Intense Reference"/>
    <w:basedOn w:val="DefaultParagraphFont"/>
    <w:uiPriority w:val="32"/>
    <w:qFormat w:val="1"/>
    <w:rsid w:val="000422B4"/>
    <w:rPr>
      <w:b w:val="1"/>
      <w:bCs w:val="1"/>
      <w:smallCaps w:val="1"/>
      <w:color w:val="0f4761" w:themeColor="accent1" w:themeShade="0000BF"/>
      <w:spacing w:val="5"/>
    </w:rPr>
  </w:style>
  <w:style w:type="character" w:styleId="Hyperlink">
    <w:name w:val="Hyperlink"/>
    <w:basedOn w:val="DefaultParagraphFont"/>
    <w:uiPriority w:val="99"/>
    <w:unhideWhenUsed w:val="1"/>
    <w:rsid w:val="00CB26C9"/>
    <w:rPr>
      <w:color w:val="0000ff"/>
      <w:u w:val="single"/>
    </w:rPr>
  </w:style>
  <w:style w:type="paragraph" w:styleId="FootnoteText">
    <w:name w:val="footnote text"/>
    <w:basedOn w:val="Normal"/>
    <w:link w:val="FootnoteTextChar"/>
    <w:uiPriority w:val="99"/>
    <w:semiHidden w:val="1"/>
    <w:unhideWhenUsed w:val="1"/>
    <w:rsid w:val="00CB26C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CB26C9"/>
    <w:rPr>
      <w:kern w:val="0"/>
      <w:sz w:val="20"/>
      <w:szCs w:val="20"/>
    </w:rPr>
  </w:style>
  <w:style w:type="character" w:styleId="FootnoteReference">
    <w:name w:val="footnote reference"/>
    <w:basedOn w:val="DefaultParagraphFont"/>
    <w:uiPriority w:val="99"/>
    <w:semiHidden w:val="1"/>
    <w:unhideWhenUsed w:val="1"/>
    <w:rsid w:val="00CB26C9"/>
    <w:rPr>
      <w:vertAlign w:val="superscrip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hyperlink" Target="https://canadacollege.edu/prie/data-dashboard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image" Target="media/image5.png"/><Relationship Id="rId14" Type="http://schemas.openxmlformats.org/officeDocument/2006/relationships/chart" Target="charts/chart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physics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 Rates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COURSE'!$M$2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COURSE'!$L$3:$L$8</c:f>
              <c:strCache>
                <c:ptCount val="6"/>
                <c:pt idx="0">
                  <c:v>PHYS-210</c:v>
                </c:pt>
                <c:pt idx="1">
                  <c:v>PHYS-220</c:v>
                </c:pt>
                <c:pt idx="2">
                  <c:v>PHYS-250</c:v>
                </c:pt>
                <c:pt idx="3">
                  <c:v>PHYS-260</c:v>
                </c:pt>
                <c:pt idx="4">
                  <c:v>PHYS-270</c:v>
                </c:pt>
                <c:pt idx="5">
                  <c:v>PHYS-405</c:v>
                </c:pt>
              </c:strCache>
            </c:strRef>
          </c:cat>
          <c:val>
            <c:numRef>
              <c:f>'SUCCESS BY COURSE'!$M$3:$M$8</c:f>
              <c:numCache>
                <c:formatCode>#,##0%;\*</c:formatCode>
                <c:ptCount val="6"/>
                <c:pt idx="0">
                  <c:v>0.75943396226415105</c:v>
                </c:pt>
                <c:pt idx="1">
                  <c:v>0.91189427312775295</c:v>
                </c:pt>
                <c:pt idx="2">
                  <c:v>0.50920245398773001</c:v>
                </c:pt>
                <c:pt idx="3">
                  <c:v>0.86734693877550995</c:v>
                </c:pt>
                <c:pt idx="4">
                  <c:v>0.93532338308457696</c:v>
                </c:pt>
                <c:pt idx="5">
                  <c:v>0.95121951219512202</c:v>
                </c:pt>
              </c:numCache>
            </c:numRef>
          </c:val>
          <c:extLst>
            <c:ext xmlns:c16="http://schemas.microsoft.com/office/drawing/2014/chart" uri="{C3380CC4-5D6E-409C-BE32-E72D297353CC}">
              <c16:uniqueId val="{00000000-6E1B-420D-B4E9-0FBB4161C5A5}"/>
            </c:ext>
          </c:extLst>
        </c:ser>
        <c:ser>
          <c:idx val="1"/>
          <c:order val="1"/>
          <c:tx>
            <c:strRef>
              <c:f>'SUCCESS BY COURSE'!$N$2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COURSE'!$L$3:$L$8</c:f>
              <c:strCache>
                <c:ptCount val="6"/>
                <c:pt idx="0">
                  <c:v>PHYS-210</c:v>
                </c:pt>
                <c:pt idx="1">
                  <c:v>PHYS-220</c:v>
                </c:pt>
                <c:pt idx="2">
                  <c:v>PHYS-250</c:v>
                </c:pt>
                <c:pt idx="3">
                  <c:v>PHYS-260</c:v>
                </c:pt>
                <c:pt idx="4">
                  <c:v>PHYS-270</c:v>
                </c:pt>
                <c:pt idx="5">
                  <c:v>PHYS-405</c:v>
                </c:pt>
              </c:strCache>
            </c:strRef>
          </c:cat>
          <c:val>
            <c:numRef>
              <c:f>'SUCCESS BY COURSE'!$N$3:$N$8</c:f>
              <c:numCache>
                <c:formatCode>#,##0%;\*</c:formatCode>
                <c:ptCount val="6"/>
                <c:pt idx="0">
                  <c:v>0.155660377358491</c:v>
                </c:pt>
                <c:pt idx="1">
                  <c:v>5.7268722466960402E-2</c:v>
                </c:pt>
                <c:pt idx="2">
                  <c:v>0.32822085889570601</c:v>
                </c:pt>
                <c:pt idx="3">
                  <c:v>8.4183673469387807E-2</c:v>
                </c:pt>
                <c:pt idx="4">
                  <c:v>4.47761194029851E-2</c:v>
                </c:pt>
                <c:pt idx="5">
                  <c:v>3.65853658536585E-2</c:v>
                </c:pt>
              </c:numCache>
            </c:numRef>
          </c:val>
          <c:extLst>
            <c:ext xmlns:c16="http://schemas.microsoft.com/office/drawing/2014/chart" uri="{C3380CC4-5D6E-409C-BE32-E72D297353CC}">
              <c16:uniqueId val="{00000001-6E1B-420D-B4E9-0FBB4161C5A5}"/>
            </c:ext>
          </c:extLst>
        </c:ser>
        <c:dLbls>
          <c:dLblPos val="outEnd"/>
          <c:showLegendKey val="0"/>
          <c:showVal val="1"/>
          <c:showCatName val="0"/>
          <c:showSerName val="0"/>
          <c:showPercent val="0"/>
          <c:showBubbleSize val="0"/>
        </c:dLbls>
        <c:gapWidth val="182"/>
        <c:axId val="16607424"/>
        <c:axId val="16605024"/>
      </c:barChart>
      <c:catAx>
        <c:axId val="16607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5024"/>
        <c:crosses val="autoZero"/>
        <c:auto val="1"/>
        <c:lblAlgn val="ctr"/>
        <c:lblOffset val="100"/>
        <c:noMultiLvlLbl val="0"/>
      </c:catAx>
      <c:valAx>
        <c:axId val="16605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GsjOHVAKnwQP4vxzWwn2l+c9A==">CgMxLjAyCGguZ2pkZ3hzOAByITFWd2MzYkJ1Y0ZtM2lyVEg4dHlvRmpWS09kdnhlMkJIbw==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2024-07-22T15:22:00Z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