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Pr="00676533" w:rsidRDefault="003F3541" w:rsidP="00EB35EE">
      <w:pPr>
        <w:pStyle w:val="BodyText"/>
        <w:jc w:val="center"/>
        <w:rPr>
          <w:rFonts w:asciiTheme="minorHAnsi" w:hAnsiTheme="minorHAnsi" w:cstheme="minorHAnsi"/>
          <w:b w:val="0"/>
          <w:sz w:val="20"/>
        </w:rPr>
      </w:pPr>
      <w:r w:rsidRPr="00676533">
        <w:rPr>
          <w:rFonts w:asciiTheme="minorHAnsi" w:hAnsiTheme="minorHAnsi" w:cstheme="minorHAnsi"/>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2090" cy="741806"/>
                    </a:xfrm>
                    <a:prstGeom prst="rect">
                      <a:avLst/>
                    </a:prstGeom>
                  </pic:spPr>
                </pic:pic>
              </a:graphicData>
            </a:graphic>
          </wp:inline>
        </w:drawing>
      </w:r>
    </w:p>
    <w:p w14:paraId="14466AFF" w14:textId="166A29BB" w:rsidR="002A05D8" w:rsidRPr="00676533" w:rsidRDefault="0055556E" w:rsidP="00EB35EE">
      <w:pPr>
        <w:pStyle w:val="BodyText"/>
        <w:spacing w:before="163"/>
        <w:ind w:right="-18" w:hanging="540"/>
        <w:jc w:val="center"/>
        <w:rPr>
          <w:rFonts w:asciiTheme="minorHAnsi" w:hAnsiTheme="minorHAnsi" w:cstheme="minorHAnsi"/>
        </w:rPr>
      </w:pPr>
      <w:r w:rsidRPr="00676533">
        <w:rPr>
          <w:rFonts w:asciiTheme="minorHAnsi" w:hAnsiTheme="minorHAnsi" w:cstheme="minorHAnsi"/>
          <w:sz w:val="32"/>
        </w:rPr>
        <w:t xml:space="preserve">PBC </w:t>
      </w:r>
      <w:r w:rsidR="00042AF2" w:rsidRPr="00676533">
        <w:rPr>
          <w:rFonts w:asciiTheme="minorHAnsi" w:hAnsiTheme="minorHAnsi" w:cstheme="minorHAnsi"/>
          <w:sz w:val="32"/>
        </w:rPr>
        <w:t xml:space="preserve">Strategic </w:t>
      </w:r>
      <w:r w:rsidRPr="00676533">
        <w:rPr>
          <w:rFonts w:asciiTheme="minorHAnsi" w:hAnsiTheme="minorHAnsi" w:cstheme="minorHAnsi"/>
          <w:sz w:val="32"/>
        </w:rPr>
        <w:t>Enrollment Management Committee</w:t>
      </w:r>
    </w:p>
    <w:p w14:paraId="7FD984A1" w14:textId="0D51C02E" w:rsidR="00BB3913" w:rsidRPr="00676533" w:rsidRDefault="008547D3" w:rsidP="00EB35EE">
      <w:pPr>
        <w:pStyle w:val="BodyText"/>
        <w:spacing w:before="163"/>
        <w:ind w:right="-18"/>
        <w:jc w:val="center"/>
        <w:rPr>
          <w:rFonts w:asciiTheme="minorHAnsi" w:hAnsiTheme="minorHAnsi" w:cstheme="minorHAnsi"/>
        </w:rPr>
      </w:pPr>
      <w:r w:rsidRPr="00676533">
        <w:rPr>
          <w:rFonts w:asciiTheme="minorHAnsi" w:hAnsiTheme="minorHAnsi" w:cstheme="minorHAnsi"/>
        </w:rPr>
        <w:t>MEETING AGENDA</w:t>
      </w:r>
    </w:p>
    <w:p w14:paraId="56C21CA2" w14:textId="4B748E34" w:rsidR="00BB3913" w:rsidRPr="00676533" w:rsidRDefault="003F3541" w:rsidP="00EB35EE">
      <w:pPr>
        <w:pStyle w:val="BodyText"/>
        <w:spacing w:line="269" w:lineRule="exact"/>
        <w:ind w:right="-18"/>
        <w:jc w:val="center"/>
        <w:rPr>
          <w:rFonts w:asciiTheme="minorHAnsi" w:hAnsiTheme="minorHAnsi" w:cstheme="minorHAnsi"/>
        </w:rPr>
      </w:pPr>
      <w:r w:rsidRPr="00676533">
        <w:rPr>
          <w:rFonts w:asciiTheme="minorHAnsi" w:hAnsiTheme="minorHAnsi" w:cstheme="minorHAnsi"/>
        </w:rPr>
        <w:t xml:space="preserve">Wednesday, </w:t>
      </w:r>
      <w:r w:rsidR="001D09C0" w:rsidRPr="00676533">
        <w:rPr>
          <w:rFonts w:asciiTheme="minorHAnsi" w:hAnsiTheme="minorHAnsi" w:cstheme="minorHAnsi"/>
        </w:rPr>
        <w:t>October 30</w:t>
      </w:r>
      <w:r w:rsidR="00462183" w:rsidRPr="00676533">
        <w:rPr>
          <w:rFonts w:asciiTheme="minorHAnsi" w:hAnsiTheme="minorHAnsi" w:cstheme="minorHAnsi"/>
        </w:rPr>
        <w:t>, 2019</w:t>
      </w:r>
    </w:p>
    <w:p w14:paraId="65205AE8" w14:textId="594ADCAA" w:rsidR="00987332" w:rsidRPr="00676533" w:rsidRDefault="0055556E" w:rsidP="00EB35EE">
      <w:pPr>
        <w:pStyle w:val="BodyText"/>
        <w:spacing w:line="269" w:lineRule="exact"/>
        <w:ind w:right="-18"/>
        <w:jc w:val="center"/>
        <w:rPr>
          <w:rFonts w:asciiTheme="minorHAnsi" w:hAnsiTheme="minorHAnsi" w:cstheme="minorHAnsi"/>
        </w:rPr>
      </w:pPr>
      <w:r w:rsidRPr="00676533">
        <w:rPr>
          <w:rFonts w:asciiTheme="minorHAnsi" w:hAnsiTheme="minorHAnsi" w:cstheme="minorHAnsi"/>
        </w:rPr>
        <w:t>Building 8</w:t>
      </w:r>
      <w:r w:rsidR="00987332" w:rsidRPr="00676533">
        <w:rPr>
          <w:rFonts w:asciiTheme="minorHAnsi" w:hAnsiTheme="minorHAnsi" w:cstheme="minorHAnsi"/>
        </w:rPr>
        <w:t xml:space="preserve"> - Room </w:t>
      </w:r>
      <w:r w:rsidRPr="00676533">
        <w:rPr>
          <w:rFonts w:asciiTheme="minorHAnsi" w:hAnsiTheme="minorHAnsi" w:cstheme="minorHAnsi"/>
        </w:rPr>
        <w:t>1</w:t>
      </w:r>
      <w:r w:rsidR="00C03242" w:rsidRPr="00676533">
        <w:rPr>
          <w:rFonts w:asciiTheme="minorHAnsi" w:hAnsiTheme="minorHAnsi" w:cstheme="minorHAnsi"/>
        </w:rPr>
        <w:t>10</w:t>
      </w:r>
    </w:p>
    <w:p w14:paraId="004D186A" w14:textId="0DFCEA12" w:rsidR="002A05D8" w:rsidRPr="00676533" w:rsidRDefault="00C03242" w:rsidP="00EB35EE">
      <w:pPr>
        <w:pStyle w:val="BodyText"/>
        <w:spacing w:line="269" w:lineRule="exact"/>
        <w:ind w:right="-18"/>
        <w:jc w:val="center"/>
        <w:rPr>
          <w:rFonts w:asciiTheme="minorHAnsi" w:hAnsiTheme="minorHAnsi" w:cstheme="minorHAnsi"/>
        </w:rPr>
      </w:pPr>
      <w:r w:rsidRPr="00676533">
        <w:rPr>
          <w:rFonts w:asciiTheme="minorHAnsi" w:hAnsiTheme="minorHAnsi" w:cstheme="minorHAnsi"/>
        </w:rPr>
        <w:t>9:00 – 10:00 a.m.</w:t>
      </w:r>
    </w:p>
    <w:p w14:paraId="3B5D2B45" w14:textId="00873AB4" w:rsidR="00987332" w:rsidRPr="00676533"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2732"/>
        <w:gridCol w:w="5532"/>
        <w:gridCol w:w="4686"/>
      </w:tblGrid>
      <w:tr w:rsidR="00676533" w:rsidRPr="00676533" w14:paraId="4C5FA3E1" w14:textId="72AD7775" w:rsidTr="00676533">
        <w:tc>
          <w:tcPr>
            <w:tcW w:w="2732" w:type="dxa"/>
            <w:shd w:val="clear" w:color="auto" w:fill="EAF1DD" w:themeFill="accent3" w:themeFillTint="33"/>
            <w:vAlign w:val="center"/>
          </w:tcPr>
          <w:p w14:paraId="715C5553" w14:textId="1DCE21BB" w:rsidR="00676533" w:rsidRPr="00676533" w:rsidRDefault="00676533" w:rsidP="00416A4E">
            <w:pPr>
              <w:jc w:val="center"/>
              <w:rPr>
                <w:rFonts w:asciiTheme="minorHAnsi" w:hAnsiTheme="minorHAnsi" w:cstheme="minorHAnsi"/>
                <w:b/>
                <w:sz w:val="24"/>
                <w:szCs w:val="24"/>
              </w:rPr>
            </w:pPr>
            <w:r w:rsidRPr="00676533">
              <w:rPr>
                <w:rFonts w:asciiTheme="minorHAnsi" w:hAnsiTheme="minorHAnsi" w:cstheme="minorHAnsi"/>
                <w:b/>
                <w:sz w:val="24"/>
                <w:szCs w:val="24"/>
              </w:rPr>
              <w:t>Agenda Item</w:t>
            </w:r>
          </w:p>
        </w:tc>
        <w:tc>
          <w:tcPr>
            <w:tcW w:w="5532" w:type="dxa"/>
            <w:shd w:val="clear" w:color="auto" w:fill="EAF1DD" w:themeFill="accent3" w:themeFillTint="33"/>
            <w:vAlign w:val="center"/>
          </w:tcPr>
          <w:p w14:paraId="7E423F85" w14:textId="4C700159" w:rsidR="00676533" w:rsidRPr="00676533" w:rsidRDefault="00676533" w:rsidP="00416A4E">
            <w:pPr>
              <w:jc w:val="center"/>
              <w:rPr>
                <w:rFonts w:asciiTheme="minorHAnsi" w:hAnsiTheme="minorHAnsi" w:cstheme="minorHAnsi"/>
                <w:b/>
                <w:sz w:val="24"/>
                <w:szCs w:val="24"/>
              </w:rPr>
            </w:pPr>
            <w:r w:rsidRPr="00676533">
              <w:rPr>
                <w:rFonts w:asciiTheme="minorHAnsi" w:hAnsiTheme="minorHAnsi" w:cstheme="minorHAnsi"/>
                <w:b/>
                <w:sz w:val="24"/>
                <w:szCs w:val="24"/>
              </w:rPr>
              <w:t>Discussion Lead</w:t>
            </w:r>
          </w:p>
        </w:tc>
        <w:tc>
          <w:tcPr>
            <w:tcW w:w="4686" w:type="dxa"/>
            <w:shd w:val="clear" w:color="auto" w:fill="EAF1DD" w:themeFill="accent3" w:themeFillTint="33"/>
          </w:tcPr>
          <w:p w14:paraId="03CCBF97" w14:textId="77777777" w:rsidR="00676533" w:rsidRPr="00676533" w:rsidRDefault="00676533" w:rsidP="00416A4E">
            <w:pPr>
              <w:jc w:val="center"/>
              <w:rPr>
                <w:rFonts w:asciiTheme="minorHAnsi" w:hAnsiTheme="minorHAnsi" w:cstheme="minorHAnsi"/>
                <w:b/>
                <w:sz w:val="24"/>
                <w:szCs w:val="24"/>
              </w:rPr>
            </w:pPr>
          </w:p>
        </w:tc>
      </w:tr>
      <w:tr w:rsidR="00676533" w:rsidRPr="00676533" w14:paraId="5B182915" w14:textId="60DEAF89" w:rsidTr="00676533">
        <w:tc>
          <w:tcPr>
            <w:tcW w:w="2732" w:type="dxa"/>
          </w:tcPr>
          <w:p w14:paraId="39F6A447" w14:textId="61950C73" w:rsidR="00676533" w:rsidRPr="00676533" w:rsidRDefault="00676533" w:rsidP="00BF2529">
            <w:pPr>
              <w:rPr>
                <w:rFonts w:asciiTheme="minorHAnsi" w:hAnsiTheme="minorHAnsi" w:cstheme="minorHAnsi"/>
                <w:b/>
                <w:sz w:val="24"/>
                <w:szCs w:val="24"/>
              </w:rPr>
            </w:pPr>
            <w:r w:rsidRPr="00676533">
              <w:rPr>
                <w:rFonts w:asciiTheme="minorHAnsi" w:hAnsiTheme="minorHAnsi" w:cstheme="minorHAnsi"/>
                <w:b/>
                <w:sz w:val="24"/>
                <w:szCs w:val="24"/>
              </w:rPr>
              <w:t>Agenda Overview</w:t>
            </w:r>
          </w:p>
          <w:p w14:paraId="4FE3A331" w14:textId="5317F130" w:rsidR="00676533" w:rsidRPr="00676533" w:rsidRDefault="00676533" w:rsidP="00632491">
            <w:pPr>
              <w:pStyle w:val="BodyText"/>
              <w:rPr>
                <w:rFonts w:asciiTheme="minorHAnsi" w:hAnsiTheme="minorHAnsi" w:cstheme="minorHAnsi"/>
                <w:b w:val="0"/>
              </w:rPr>
            </w:pPr>
            <w:r w:rsidRPr="00676533">
              <w:rPr>
                <w:rFonts w:asciiTheme="minorHAnsi" w:hAnsiTheme="minorHAnsi" w:cstheme="minorHAnsi"/>
                <w:b w:val="0"/>
              </w:rPr>
              <w:t>Revised meeting agenda for the balance of the year</w:t>
            </w:r>
          </w:p>
        </w:tc>
        <w:tc>
          <w:tcPr>
            <w:tcW w:w="5532" w:type="dxa"/>
          </w:tcPr>
          <w:p w14:paraId="08F862FB" w14:textId="4BE26AFD" w:rsidR="00676533" w:rsidRPr="00676533" w:rsidRDefault="00676533" w:rsidP="00BF2529">
            <w:pPr>
              <w:rPr>
                <w:rFonts w:asciiTheme="minorHAnsi" w:hAnsiTheme="minorHAnsi" w:cstheme="minorHAnsi"/>
                <w:szCs w:val="24"/>
              </w:rPr>
            </w:pPr>
            <w:r w:rsidRPr="00676533">
              <w:rPr>
                <w:rFonts w:asciiTheme="minorHAnsi" w:hAnsiTheme="minorHAnsi" w:cstheme="minorHAnsi"/>
                <w:szCs w:val="24"/>
              </w:rPr>
              <w:t>Robinson and Engel</w:t>
            </w:r>
          </w:p>
          <w:p w14:paraId="5817FEA3" w14:textId="7F5BD282" w:rsidR="00676533" w:rsidRPr="00676533" w:rsidRDefault="00676533" w:rsidP="00A62228">
            <w:pPr>
              <w:rPr>
                <w:rFonts w:asciiTheme="minorHAnsi" w:hAnsiTheme="minorHAnsi" w:cstheme="minorHAnsi"/>
                <w:szCs w:val="24"/>
              </w:rPr>
            </w:pPr>
          </w:p>
        </w:tc>
        <w:tc>
          <w:tcPr>
            <w:tcW w:w="4686" w:type="dxa"/>
          </w:tcPr>
          <w:p w14:paraId="5A011700" w14:textId="77777777" w:rsidR="00676533" w:rsidRPr="00676533" w:rsidRDefault="00676533" w:rsidP="00BF2529">
            <w:pPr>
              <w:rPr>
                <w:rFonts w:asciiTheme="minorHAnsi" w:hAnsiTheme="minorHAnsi" w:cstheme="minorHAnsi"/>
                <w:szCs w:val="24"/>
              </w:rPr>
            </w:pPr>
          </w:p>
        </w:tc>
      </w:tr>
      <w:tr w:rsidR="00676533" w:rsidRPr="00676533" w14:paraId="7D887AD3" w14:textId="76DC3AFB" w:rsidTr="00676533">
        <w:tc>
          <w:tcPr>
            <w:tcW w:w="2732" w:type="dxa"/>
          </w:tcPr>
          <w:p w14:paraId="2CB1B134" w14:textId="77777777" w:rsidR="00676533" w:rsidRPr="00676533" w:rsidRDefault="00676533" w:rsidP="00C03242">
            <w:pPr>
              <w:pStyle w:val="BodyText"/>
              <w:rPr>
                <w:rFonts w:asciiTheme="minorHAnsi" w:hAnsiTheme="minorHAnsi" w:cstheme="minorHAnsi"/>
              </w:rPr>
            </w:pPr>
            <w:r w:rsidRPr="00676533">
              <w:rPr>
                <w:rFonts w:asciiTheme="minorHAnsi" w:hAnsiTheme="minorHAnsi" w:cstheme="minorHAnsi"/>
              </w:rPr>
              <w:t>Moving towards a Plan</w:t>
            </w:r>
          </w:p>
          <w:p w14:paraId="03A41C94" w14:textId="5FCAA442" w:rsidR="00676533" w:rsidRPr="00676533" w:rsidRDefault="00676533" w:rsidP="001E5E28">
            <w:pPr>
              <w:pStyle w:val="BodyText"/>
              <w:numPr>
                <w:ilvl w:val="0"/>
                <w:numId w:val="21"/>
              </w:numPr>
              <w:rPr>
                <w:rFonts w:asciiTheme="minorHAnsi" w:hAnsiTheme="minorHAnsi" w:cstheme="minorHAnsi"/>
                <w:b w:val="0"/>
              </w:rPr>
            </w:pPr>
            <w:r w:rsidRPr="00676533">
              <w:rPr>
                <w:rFonts w:asciiTheme="minorHAnsi" w:hAnsiTheme="minorHAnsi" w:cstheme="minorHAnsi"/>
                <w:b w:val="0"/>
              </w:rPr>
              <w:t>Setting clear goals for the Strategic Enrollment Management Plan</w:t>
            </w:r>
          </w:p>
        </w:tc>
        <w:tc>
          <w:tcPr>
            <w:tcW w:w="5532" w:type="dxa"/>
          </w:tcPr>
          <w:p w14:paraId="39FACD86" w14:textId="77777777" w:rsidR="00676533" w:rsidRPr="00676533" w:rsidRDefault="00676533" w:rsidP="00BF2529">
            <w:pPr>
              <w:rPr>
                <w:rFonts w:asciiTheme="minorHAnsi" w:hAnsiTheme="minorHAnsi" w:cstheme="minorHAnsi"/>
                <w:szCs w:val="24"/>
              </w:rPr>
            </w:pPr>
            <w:r w:rsidRPr="00676533">
              <w:rPr>
                <w:rFonts w:asciiTheme="minorHAnsi" w:hAnsiTheme="minorHAnsi" w:cstheme="minorHAnsi"/>
                <w:szCs w:val="24"/>
              </w:rPr>
              <w:t>Robinson and Engel</w:t>
            </w:r>
          </w:p>
          <w:p w14:paraId="7CA37FFE" w14:textId="7BF25442" w:rsidR="00676533" w:rsidRPr="00676533" w:rsidRDefault="00676533" w:rsidP="00BF2529">
            <w:pPr>
              <w:rPr>
                <w:rFonts w:asciiTheme="minorHAnsi" w:hAnsiTheme="minorHAnsi" w:cstheme="minorHAnsi"/>
                <w:szCs w:val="24"/>
              </w:rPr>
            </w:pPr>
            <w:r>
              <w:rPr>
                <w:rFonts w:asciiTheme="minorHAnsi" w:hAnsiTheme="minorHAnsi" w:cstheme="minorHAnsi"/>
                <w:szCs w:val="24"/>
              </w:rPr>
              <w:t>Robinson notes:</w:t>
            </w:r>
          </w:p>
          <w:p w14:paraId="4822C788" w14:textId="77777777" w:rsidR="00676533" w:rsidRPr="00676533" w:rsidRDefault="00676533" w:rsidP="00676533">
            <w:pPr>
              <w:rPr>
                <w:rFonts w:asciiTheme="minorHAnsi" w:eastAsia="Batang" w:hAnsiTheme="minorHAnsi" w:cstheme="minorHAnsi"/>
                <w:lang w:bidi="ar-SA"/>
              </w:rPr>
            </w:pPr>
            <w:r w:rsidRPr="00676533">
              <w:rPr>
                <w:rFonts w:asciiTheme="minorHAnsi" w:eastAsia="Batang" w:hAnsiTheme="minorHAnsi" w:cstheme="minorHAnsi"/>
              </w:rPr>
              <w:t xml:space="preserve">STEM students have issues with completion within two years. So, which areas should we focus on and how should we develop this strategy for </w:t>
            </w:r>
          </w:p>
          <w:p w14:paraId="794D8B90"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Moving to one-year schedule</w:t>
            </w:r>
          </w:p>
          <w:p w14:paraId="2EF00761"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How can we better create our schedule to benefit students and so they can take a look at their goals and how long</w:t>
            </w:r>
          </w:p>
          <w:p w14:paraId="4957D5A7"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Be mindful of the population that we serve so that some students can take come at varied times- what about Friday evening classes, Saturday classes and how can we be more creative with the scheduling</w:t>
            </w:r>
          </w:p>
          <w:p w14:paraId="49AC3119"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This is the ideal of where we are working to meet</w:t>
            </w:r>
          </w:p>
          <w:p w14:paraId="6DE46638"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How do we have the difficult conversations about how we better serve students</w:t>
            </w:r>
          </w:p>
          <w:p w14:paraId="6E325FE3"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What does it mean if students don’t want to get degrees/certificates?</w:t>
            </w:r>
          </w:p>
          <w:p w14:paraId="1D9576E3"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What about online instruction and how do we teach about online?</w:t>
            </w:r>
          </w:p>
          <w:p w14:paraId="09FE99D7"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lastRenderedPageBreak/>
              <w:t>How are we addressing Promise Scholars and their needs?</w:t>
            </w:r>
          </w:p>
          <w:p w14:paraId="07608980"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Why are we creating barriers for students- when there is a P.E. requirement to graduate? But, what will be the impact of change in the standard?</w:t>
            </w:r>
          </w:p>
          <w:p w14:paraId="1D87B66A"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How do we count employment before a degree/certificate is earned?</w:t>
            </w:r>
          </w:p>
          <w:p w14:paraId="7A6DBBD9"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Many of our students are from working class families and many are struggling to take anymore classes due to costs?</w:t>
            </w:r>
          </w:p>
          <w:p w14:paraId="5ECC6EA3"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Can we work harder to get in front of the legislation so that we don’t have to be told what to do- but colleges lead the discussion?</w:t>
            </w:r>
          </w:p>
          <w:p w14:paraId="63BD5853"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So many students are helping to support their families- so how can we move them through so they college and allow them to make Canada College their first choice?</w:t>
            </w:r>
          </w:p>
          <w:p w14:paraId="71F264AE"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Message has been an ESL college- and that is hindering our progress and image</w:t>
            </w:r>
          </w:p>
          <w:p w14:paraId="7B0D6310"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Students complete programs- how do we shift to degrees and certificates</w:t>
            </w:r>
          </w:p>
          <w:p w14:paraId="4B9E66C1"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 xml:space="preserve">Is the schedule hindering completion? </w:t>
            </w:r>
          </w:p>
          <w:p w14:paraId="16D8E364"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We need to reset our goals for our scorecard and determine what is our goals are now and in modern day?</w:t>
            </w:r>
          </w:p>
          <w:p w14:paraId="19982EAD"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Perhaps we should look at it all differently</w:t>
            </w:r>
            <w:proofErr w:type="gramStart"/>
            <w:r w:rsidRPr="00676533">
              <w:rPr>
                <w:rFonts w:asciiTheme="minorHAnsi" w:eastAsia="Batang" w:hAnsiTheme="minorHAnsi" w:cstheme="minorHAnsi"/>
              </w:rPr>
              <w:t>?2</w:t>
            </w:r>
            <w:proofErr w:type="gramEnd"/>
            <w:r w:rsidRPr="00676533">
              <w:rPr>
                <w:rFonts w:asciiTheme="minorHAnsi" w:eastAsia="Batang" w:hAnsiTheme="minorHAnsi" w:cstheme="minorHAnsi"/>
              </w:rPr>
              <w:t xml:space="preserve"> year/3 year/4 year goal?</w:t>
            </w:r>
          </w:p>
          <w:p w14:paraId="7E4350ED"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Need to be as transparent as possible and it should be helpful once we have the program mapper.</w:t>
            </w:r>
          </w:p>
          <w:p w14:paraId="77848922" w14:textId="77777777" w:rsidR="00676533" w:rsidRPr="00676533" w:rsidRDefault="00676533" w:rsidP="00676533">
            <w:pPr>
              <w:numPr>
                <w:ilvl w:val="0"/>
                <w:numId w:val="22"/>
              </w:numPr>
              <w:rPr>
                <w:rFonts w:asciiTheme="minorHAnsi" w:eastAsia="Batang" w:hAnsiTheme="minorHAnsi" w:cstheme="minorHAnsi"/>
              </w:rPr>
            </w:pPr>
            <w:r w:rsidRPr="00676533">
              <w:rPr>
                <w:rFonts w:asciiTheme="minorHAnsi" w:eastAsia="Batang" w:hAnsiTheme="minorHAnsi" w:cstheme="minorHAnsi"/>
              </w:rPr>
              <w:t>Do we have a rationale for those areas that will take longer to complete and be transparent about those possibilities?</w:t>
            </w:r>
          </w:p>
          <w:p w14:paraId="49E91D80" w14:textId="65AB6DE3" w:rsidR="00676533" w:rsidRPr="00676533" w:rsidRDefault="00676533" w:rsidP="00BF2529">
            <w:pPr>
              <w:rPr>
                <w:rFonts w:asciiTheme="minorHAnsi" w:hAnsiTheme="minorHAnsi" w:cstheme="minorHAnsi"/>
                <w:szCs w:val="24"/>
              </w:rPr>
            </w:pPr>
          </w:p>
        </w:tc>
        <w:tc>
          <w:tcPr>
            <w:tcW w:w="4686" w:type="dxa"/>
          </w:tcPr>
          <w:p w14:paraId="681CE213" w14:textId="77777777" w:rsidR="00676533" w:rsidRPr="00676533" w:rsidRDefault="00676533" w:rsidP="00BF2529">
            <w:pPr>
              <w:rPr>
                <w:rFonts w:asciiTheme="minorHAnsi" w:hAnsiTheme="minorHAnsi" w:cstheme="minorHAnsi"/>
                <w:szCs w:val="24"/>
              </w:rPr>
            </w:pPr>
            <w:r w:rsidRPr="00676533">
              <w:rPr>
                <w:rFonts w:asciiTheme="minorHAnsi" w:hAnsiTheme="minorHAnsi" w:cstheme="minorHAnsi"/>
                <w:szCs w:val="24"/>
              </w:rPr>
              <w:lastRenderedPageBreak/>
              <w:t>Claxton notes:</w:t>
            </w:r>
          </w:p>
          <w:p w14:paraId="3CDEF293" w14:textId="77777777" w:rsidR="00676533" w:rsidRPr="00676533" w:rsidRDefault="00676533" w:rsidP="00676533">
            <w:pPr>
              <w:rPr>
                <w:rFonts w:asciiTheme="minorHAnsi" w:eastAsiaTheme="minorHAnsi" w:hAnsiTheme="minorHAnsi" w:cstheme="minorHAnsi"/>
                <w:lang w:bidi="ar-SA"/>
              </w:rPr>
            </w:pPr>
            <w:r w:rsidRPr="00676533">
              <w:rPr>
                <w:rFonts w:asciiTheme="minorHAnsi" w:hAnsiTheme="minorHAnsi" w:cstheme="minorHAnsi"/>
              </w:rPr>
              <w:t>Moving towards a plan</w:t>
            </w:r>
          </w:p>
          <w:p w14:paraId="500CBE0E"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 xml:space="preserve">STEM majors are unable to get out </w:t>
            </w:r>
          </w:p>
          <w:p w14:paraId="13E3F1F6"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What about part time students - what is this messaging</w:t>
            </w:r>
          </w:p>
          <w:p w14:paraId="2AC619CC"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Need one year schedule</w:t>
            </w:r>
          </w:p>
          <w:p w14:paraId="0CD88021"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What classes are offered when</w:t>
            </w:r>
          </w:p>
          <w:p w14:paraId="68B81D5F"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And in what semester</w:t>
            </w:r>
          </w:p>
          <w:p w14:paraId="7A4BA5DE"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We need to not be the limiting factor for 2 year completion</w:t>
            </w:r>
          </w:p>
          <w:p w14:paraId="4327261E"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When do we offer courses</w:t>
            </w:r>
          </w:p>
          <w:p w14:paraId="4FEE191A"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Night/weekend/summer</w:t>
            </w:r>
          </w:p>
          <w:p w14:paraId="7C45C9DE"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 xml:space="preserve">Support services schedule </w:t>
            </w:r>
          </w:p>
          <w:p w14:paraId="1C5E382C"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 xml:space="preserve">Fridays and </w:t>
            </w:r>
            <w:proofErr w:type="spellStart"/>
            <w:proofErr w:type="gramStart"/>
            <w:r w:rsidRPr="00676533">
              <w:rPr>
                <w:rFonts w:asciiTheme="minorHAnsi" w:hAnsiTheme="minorHAnsi" w:cstheme="minorHAnsi"/>
              </w:rPr>
              <w:t>saturdays</w:t>
            </w:r>
            <w:proofErr w:type="spellEnd"/>
            <w:proofErr w:type="gramEnd"/>
            <w:r w:rsidRPr="00676533">
              <w:rPr>
                <w:rFonts w:asciiTheme="minorHAnsi" w:hAnsiTheme="minorHAnsi" w:cstheme="minorHAnsi"/>
              </w:rPr>
              <w:t>?</w:t>
            </w:r>
          </w:p>
          <w:p w14:paraId="659DA076"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Online/on call</w:t>
            </w:r>
          </w:p>
          <w:p w14:paraId="6B21BCB6"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There will be exceptions, but we are setting up an ideal</w:t>
            </w:r>
          </w:p>
          <w:p w14:paraId="085176E6"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 xml:space="preserve">Figure out how individual areas support </w:t>
            </w:r>
          </w:p>
          <w:p w14:paraId="384B14DF"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For degrees we need to consider low load</w:t>
            </w:r>
          </w:p>
          <w:p w14:paraId="336C7525"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lastRenderedPageBreak/>
              <w:t>E.g., small number of majors means few students in high level classes</w:t>
            </w:r>
          </w:p>
          <w:p w14:paraId="62D6E6E1"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Online may not have equal access</w:t>
            </w:r>
          </w:p>
          <w:p w14:paraId="696428CB"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Teaching and taking online courses as problems</w:t>
            </w:r>
          </w:p>
          <w:p w14:paraId="427DD288"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Evaluate courses for ADT vs AA</w:t>
            </w:r>
          </w:p>
          <w:p w14:paraId="70027CA0"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Why is our AA harder to get than the ADT</w:t>
            </w:r>
          </w:p>
          <w:p w14:paraId="2A74026F"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b/>
                <w:bCs/>
              </w:rPr>
              <w:t>Are more degrees being granted due to ADT?</w:t>
            </w:r>
          </w:p>
          <w:p w14:paraId="3F8E1CFD"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Interdisciplinary studies for students in STEM</w:t>
            </w:r>
          </w:p>
          <w:p w14:paraId="49FAE662"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b/>
                <w:bCs/>
              </w:rPr>
              <w:t xml:space="preserve">2 PE courses is limiting for local AA </w:t>
            </w:r>
          </w:p>
          <w:p w14:paraId="39651A97" w14:textId="77777777" w:rsidR="00676533" w:rsidRPr="00676533" w:rsidRDefault="00676533" w:rsidP="00676533">
            <w:pPr>
              <w:numPr>
                <w:ilvl w:val="2"/>
                <w:numId w:val="25"/>
              </w:numPr>
              <w:ind w:left="1620"/>
              <w:textAlignment w:val="center"/>
              <w:rPr>
                <w:rFonts w:asciiTheme="minorHAnsi" w:hAnsiTheme="minorHAnsi" w:cstheme="minorHAnsi"/>
              </w:rPr>
            </w:pPr>
            <w:r w:rsidRPr="00676533">
              <w:rPr>
                <w:rFonts w:asciiTheme="minorHAnsi" w:hAnsiTheme="minorHAnsi" w:cstheme="minorHAnsi"/>
              </w:rPr>
              <w:t>This is a local decision</w:t>
            </w:r>
          </w:p>
          <w:p w14:paraId="76B9D64A" w14:textId="77777777" w:rsidR="00676533" w:rsidRPr="00676533" w:rsidRDefault="00676533" w:rsidP="00676533">
            <w:pPr>
              <w:numPr>
                <w:ilvl w:val="2"/>
                <w:numId w:val="25"/>
              </w:numPr>
              <w:ind w:left="1620"/>
              <w:textAlignment w:val="center"/>
              <w:rPr>
                <w:rFonts w:asciiTheme="minorHAnsi" w:hAnsiTheme="minorHAnsi" w:cstheme="minorHAnsi"/>
              </w:rPr>
            </w:pPr>
            <w:r w:rsidRPr="00676533">
              <w:rPr>
                <w:rFonts w:asciiTheme="minorHAnsi" w:hAnsiTheme="minorHAnsi" w:cstheme="minorHAnsi"/>
              </w:rPr>
              <w:t>Removing this barrier does have a cost</w:t>
            </w:r>
          </w:p>
          <w:p w14:paraId="525EC101"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Anticipate requirements from state so we aren't so reactionary</w:t>
            </w:r>
          </w:p>
          <w:p w14:paraId="181F2167"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This committee examines these questions and brings them to the decision makers</w:t>
            </w:r>
          </w:p>
          <w:p w14:paraId="7D511E51"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b/>
                <w:bCs/>
              </w:rPr>
              <w:t>What about increasing FTES?</w:t>
            </w:r>
          </w:p>
          <w:p w14:paraId="2C050895"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Fixing structural issues and increasing partnerships increases enrollment</w:t>
            </w:r>
          </w:p>
          <w:p w14:paraId="5826F90B"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What data/variables should we be considering</w:t>
            </w:r>
          </w:p>
          <w:p w14:paraId="6A2D0EAF"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What about career education?</w:t>
            </w:r>
          </w:p>
          <w:p w14:paraId="5D993ACC"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Students are hired out before award attainment</w:t>
            </w:r>
          </w:p>
          <w:p w14:paraId="5A717B2D" w14:textId="77777777" w:rsidR="00676533" w:rsidRPr="00676533" w:rsidRDefault="00676533" w:rsidP="00676533">
            <w:pPr>
              <w:numPr>
                <w:ilvl w:val="2"/>
                <w:numId w:val="25"/>
              </w:numPr>
              <w:ind w:left="1620"/>
              <w:textAlignment w:val="center"/>
              <w:rPr>
                <w:rFonts w:asciiTheme="minorHAnsi" w:hAnsiTheme="minorHAnsi" w:cstheme="minorHAnsi"/>
              </w:rPr>
            </w:pPr>
            <w:r w:rsidRPr="00676533">
              <w:rPr>
                <w:rFonts w:asciiTheme="minorHAnsi" w:hAnsiTheme="minorHAnsi" w:cstheme="minorHAnsi"/>
              </w:rPr>
              <w:t>How do we tie enrollment leading to job attainment for "completion"</w:t>
            </w:r>
          </w:p>
          <w:p w14:paraId="4E8F49BC"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Restructuring allows for better marketing</w:t>
            </w:r>
          </w:p>
          <w:p w14:paraId="6A0C89B6"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We can't ignore the issues presented by SCFF</w:t>
            </w:r>
          </w:p>
          <w:p w14:paraId="7E0BF1D7"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A majority of first time students are working class</w:t>
            </w:r>
          </w:p>
          <w:p w14:paraId="2B49C66F"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 xml:space="preserve">Most full time students have EFC of 0 indicates low income, </w:t>
            </w:r>
          </w:p>
          <w:p w14:paraId="484E5795"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lastRenderedPageBreak/>
              <w:t>Friday morning community partners are coming to Canada</w:t>
            </w:r>
          </w:p>
          <w:p w14:paraId="0082BF02" w14:textId="77777777" w:rsidR="00676533" w:rsidRPr="00676533" w:rsidRDefault="00676533" w:rsidP="00676533">
            <w:pPr>
              <w:numPr>
                <w:ilvl w:val="0"/>
                <w:numId w:val="25"/>
              </w:numPr>
              <w:ind w:left="540"/>
              <w:textAlignment w:val="center"/>
              <w:rPr>
                <w:rFonts w:asciiTheme="minorHAnsi" w:hAnsiTheme="minorHAnsi" w:cstheme="minorHAnsi"/>
              </w:rPr>
            </w:pPr>
            <w:r w:rsidRPr="00676533">
              <w:rPr>
                <w:rFonts w:asciiTheme="minorHAnsi" w:hAnsiTheme="minorHAnsi" w:cstheme="minorHAnsi"/>
              </w:rPr>
              <w:t>Winter Intersession</w:t>
            </w:r>
          </w:p>
          <w:p w14:paraId="32E654F8" w14:textId="77777777" w:rsidR="00676533" w:rsidRPr="00676533" w:rsidRDefault="00676533" w:rsidP="00676533">
            <w:pPr>
              <w:numPr>
                <w:ilvl w:val="1"/>
                <w:numId w:val="25"/>
              </w:numPr>
              <w:ind w:left="1080"/>
              <w:textAlignment w:val="center"/>
              <w:rPr>
                <w:rFonts w:asciiTheme="minorHAnsi" w:hAnsiTheme="minorHAnsi" w:cstheme="minorHAnsi"/>
              </w:rPr>
            </w:pPr>
            <w:r w:rsidRPr="00676533">
              <w:rPr>
                <w:rFonts w:asciiTheme="minorHAnsi" w:hAnsiTheme="minorHAnsi" w:cstheme="minorHAnsi"/>
              </w:rPr>
              <w:t>Paired with Summer to get 12 unit main term to 30</w:t>
            </w:r>
          </w:p>
          <w:p w14:paraId="79CFA32B" w14:textId="13922187" w:rsidR="00676533" w:rsidRPr="00676533" w:rsidRDefault="00676533" w:rsidP="00BF2529">
            <w:pPr>
              <w:rPr>
                <w:rFonts w:asciiTheme="minorHAnsi" w:hAnsiTheme="minorHAnsi" w:cstheme="minorHAnsi"/>
                <w:szCs w:val="24"/>
              </w:rPr>
            </w:pPr>
          </w:p>
        </w:tc>
      </w:tr>
      <w:tr w:rsidR="00676533" w:rsidRPr="00676533" w14:paraId="2E935045" w14:textId="2DB3AFB8" w:rsidTr="00676533">
        <w:tc>
          <w:tcPr>
            <w:tcW w:w="2732" w:type="dxa"/>
          </w:tcPr>
          <w:p w14:paraId="64A0CEB4" w14:textId="27961B08" w:rsidR="00676533" w:rsidRPr="00676533" w:rsidRDefault="00676533" w:rsidP="00C03242">
            <w:pPr>
              <w:pStyle w:val="BodyText"/>
              <w:rPr>
                <w:rFonts w:asciiTheme="minorHAnsi" w:hAnsiTheme="minorHAnsi" w:cstheme="minorHAnsi"/>
              </w:rPr>
            </w:pPr>
            <w:r w:rsidRPr="00676533">
              <w:rPr>
                <w:rFonts w:asciiTheme="minorHAnsi" w:hAnsiTheme="minorHAnsi" w:cstheme="minorHAnsi"/>
              </w:rPr>
              <w:lastRenderedPageBreak/>
              <w:t>Early work on schedule optimization</w:t>
            </w:r>
          </w:p>
          <w:p w14:paraId="4497CF28" w14:textId="5CDD3CC1" w:rsidR="00676533" w:rsidRPr="00676533" w:rsidRDefault="00676533" w:rsidP="001E5E28">
            <w:pPr>
              <w:pStyle w:val="BodyText"/>
              <w:numPr>
                <w:ilvl w:val="0"/>
                <w:numId w:val="20"/>
              </w:numPr>
              <w:rPr>
                <w:rFonts w:asciiTheme="minorHAnsi" w:hAnsiTheme="minorHAnsi" w:cstheme="minorHAnsi"/>
                <w:b w:val="0"/>
              </w:rPr>
            </w:pPr>
            <w:r w:rsidRPr="00676533">
              <w:rPr>
                <w:rFonts w:asciiTheme="minorHAnsi" w:hAnsiTheme="minorHAnsi" w:cstheme="minorHAnsi"/>
                <w:b w:val="0"/>
              </w:rPr>
              <w:t>Lines of inquiry</w:t>
            </w:r>
          </w:p>
          <w:p w14:paraId="2E70AC1B" w14:textId="6DD5E29F" w:rsidR="00676533" w:rsidRPr="00676533" w:rsidRDefault="00676533" w:rsidP="001E5E28">
            <w:pPr>
              <w:pStyle w:val="BodyText"/>
              <w:numPr>
                <w:ilvl w:val="0"/>
                <w:numId w:val="20"/>
              </w:numPr>
              <w:rPr>
                <w:rFonts w:asciiTheme="minorHAnsi" w:hAnsiTheme="minorHAnsi" w:cstheme="minorHAnsi"/>
                <w:b w:val="0"/>
              </w:rPr>
            </w:pPr>
            <w:r w:rsidRPr="00676533">
              <w:rPr>
                <w:rFonts w:asciiTheme="minorHAnsi" w:hAnsiTheme="minorHAnsi" w:cstheme="minorHAnsi"/>
                <w:b w:val="0"/>
              </w:rPr>
              <w:t>Analysis of degree completers</w:t>
            </w:r>
          </w:p>
          <w:p w14:paraId="4D4C23A3" w14:textId="0EC07F20" w:rsidR="00676533" w:rsidRPr="00676533" w:rsidRDefault="00676533" w:rsidP="00D25190">
            <w:pPr>
              <w:pStyle w:val="BodyText"/>
              <w:ind w:left="720"/>
              <w:rPr>
                <w:rFonts w:asciiTheme="minorHAnsi" w:hAnsiTheme="minorHAnsi" w:cstheme="minorHAnsi"/>
                <w:b w:val="0"/>
              </w:rPr>
            </w:pPr>
          </w:p>
        </w:tc>
        <w:tc>
          <w:tcPr>
            <w:tcW w:w="5532" w:type="dxa"/>
          </w:tcPr>
          <w:p w14:paraId="309C24AB" w14:textId="0FBE6613" w:rsidR="00676533" w:rsidRPr="00676533" w:rsidRDefault="00676533" w:rsidP="00BF2529">
            <w:pPr>
              <w:rPr>
                <w:rFonts w:asciiTheme="minorHAnsi" w:hAnsiTheme="minorHAnsi" w:cstheme="minorHAnsi"/>
                <w:szCs w:val="24"/>
              </w:rPr>
            </w:pPr>
            <w:r w:rsidRPr="00676533">
              <w:rPr>
                <w:rFonts w:asciiTheme="minorHAnsi" w:hAnsiTheme="minorHAnsi" w:cstheme="minorHAnsi"/>
                <w:szCs w:val="24"/>
              </w:rPr>
              <w:t>Karen Engel, PRIE</w:t>
            </w:r>
          </w:p>
          <w:p w14:paraId="3A745B20" w14:textId="77777777" w:rsidR="00676533" w:rsidRPr="00676533" w:rsidRDefault="00676533" w:rsidP="00BF2529">
            <w:pPr>
              <w:rPr>
                <w:rFonts w:asciiTheme="minorHAnsi" w:hAnsiTheme="minorHAnsi" w:cstheme="minorHAnsi"/>
                <w:szCs w:val="24"/>
              </w:rPr>
            </w:pPr>
            <w:r w:rsidRPr="00676533">
              <w:rPr>
                <w:rFonts w:asciiTheme="minorHAnsi" w:hAnsiTheme="minorHAnsi" w:cstheme="minorHAnsi"/>
                <w:szCs w:val="24"/>
              </w:rPr>
              <w:t>Alex Claxton, PRIE</w:t>
            </w:r>
          </w:p>
          <w:p w14:paraId="3F3FBA09" w14:textId="77777777" w:rsidR="00676533" w:rsidRPr="00676533" w:rsidRDefault="00676533" w:rsidP="00BF2529">
            <w:pPr>
              <w:rPr>
                <w:rFonts w:asciiTheme="minorHAnsi" w:hAnsiTheme="minorHAnsi" w:cstheme="minorHAnsi"/>
                <w:szCs w:val="24"/>
              </w:rPr>
            </w:pPr>
          </w:p>
          <w:p w14:paraId="1DA126B3" w14:textId="77777777" w:rsidR="00676533" w:rsidRPr="00676533" w:rsidRDefault="00676533" w:rsidP="00676533">
            <w:pPr>
              <w:rPr>
                <w:rFonts w:asciiTheme="minorHAnsi" w:eastAsiaTheme="minorHAnsi" w:hAnsiTheme="minorHAnsi" w:cstheme="minorHAnsi"/>
                <w:lang w:bidi="ar-SA"/>
              </w:rPr>
            </w:pPr>
            <w:r w:rsidRPr="00676533">
              <w:rPr>
                <w:rFonts w:asciiTheme="minorHAnsi" w:hAnsiTheme="minorHAnsi" w:cstheme="minorHAnsi"/>
              </w:rPr>
              <w:t>Student types</w:t>
            </w:r>
          </w:p>
          <w:p w14:paraId="4A565148" w14:textId="77777777" w:rsidR="00676533" w:rsidRPr="00676533" w:rsidRDefault="00676533" w:rsidP="00676533">
            <w:pPr>
              <w:numPr>
                <w:ilvl w:val="0"/>
                <w:numId w:val="23"/>
              </w:numPr>
              <w:ind w:left="540"/>
              <w:textAlignment w:val="center"/>
              <w:rPr>
                <w:rFonts w:asciiTheme="minorHAnsi" w:hAnsiTheme="minorHAnsi" w:cstheme="minorHAnsi"/>
              </w:rPr>
            </w:pPr>
            <w:r w:rsidRPr="00676533">
              <w:rPr>
                <w:rFonts w:asciiTheme="minorHAnsi" w:hAnsiTheme="minorHAnsi" w:cstheme="minorHAnsi"/>
              </w:rPr>
              <w:t>We are still on the hook for all these student types when it comes to success metrics</w:t>
            </w:r>
          </w:p>
          <w:p w14:paraId="6C791018" w14:textId="77777777" w:rsidR="00676533" w:rsidRPr="00676533" w:rsidRDefault="00676533" w:rsidP="00676533">
            <w:pPr>
              <w:numPr>
                <w:ilvl w:val="1"/>
                <w:numId w:val="23"/>
              </w:numPr>
              <w:ind w:left="1080"/>
              <w:textAlignment w:val="center"/>
              <w:rPr>
                <w:rFonts w:asciiTheme="minorHAnsi" w:hAnsiTheme="minorHAnsi" w:cstheme="minorHAnsi"/>
              </w:rPr>
            </w:pPr>
            <w:r w:rsidRPr="00676533">
              <w:rPr>
                <w:rFonts w:asciiTheme="minorHAnsi" w:hAnsiTheme="minorHAnsi" w:cstheme="minorHAnsi"/>
              </w:rPr>
              <w:t>But do we need to include them in SEM planning?</w:t>
            </w:r>
          </w:p>
          <w:p w14:paraId="7B6B59DB" w14:textId="77777777" w:rsidR="00676533" w:rsidRPr="00676533" w:rsidRDefault="00676533" w:rsidP="00676533">
            <w:pPr>
              <w:ind w:left="540"/>
              <w:rPr>
                <w:rFonts w:asciiTheme="minorHAnsi" w:hAnsiTheme="minorHAnsi" w:cstheme="minorHAnsi"/>
              </w:rPr>
            </w:pPr>
            <w:r w:rsidRPr="00676533">
              <w:rPr>
                <w:rFonts w:asciiTheme="minorHAnsi" w:hAnsiTheme="minorHAnsi" w:cstheme="minorHAnsi"/>
              </w:rPr>
              <w:t> </w:t>
            </w:r>
          </w:p>
          <w:p w14:paraId="6063318D" w14:textId="77777777" w:rsidR="00676533" w:rsidRPr="00676533" w:rsidRDefault="00676533" w:rsidP="00676533">
            <w:pPr>
              <w:rPr>
                <w:rFonts w:asciiTheme="minorHAnsi" w:hAnsiTheme="minorHAnsi" w:cstheme="minorHAnsi"/>
              </w:rPr>
            </w:pPr>
            <w:r w:rsidRPr="00676533">
              <w:rPr>
                <w:rFonts w:asciiTheme="minorHAnsi" w:hAnsiTheme="minorHAnsi" w:cstheme="minorHAnsi"/>
              </w:rPr>
              <w:t> </w:t>
            </w:r>
          </w:p>
          <w:p w14:paraId="5870C5F6" w14:textId="77777777" w:rsidR="00676533" w:rsidRPr="00676533" w:rsidRDefault="00676533" w:rsidP="00676533">
            <w:pPr>
              <w:rPr>
                <w:rFonts w:asciiTheme="minorHAnsi" w:hAnsiTheme="minorHAnsi" w:cstheme="minorHAnsi"/>
              </w:rPr>
            </w:pPr>
            <w:r w:rsidRPr="00676533">
              <w:rPr>
                <w:rFonts w:asciiTheme="minorHAnsi" w:hAnsiTheme="minorHAnsi" w:cstheme="minorHAnsi"/>
              </w:rPr>
              <w:t xml:space="preserve">Set up buckets for 1, 2, 3, and 4 year </w:t>
            </w:r>
          </w:p>
          <w:p w14:paraId="7967631A" w14:textId="77777777" w:rsidR="00676533" w:rsidRPr="00676533" w:rsidRDefault="00676533" w:rsidP="00676533">
            <w:pPr>
              <w:rPr>
                <w:rFonts w:asciiTheme="minorHAnsi" w:hAnsiTheme="minorHAnsi" w:cstheme="minorHAnsi"/>
              </w:rPr>
            </w:pPr>
            <w:r w:rsidRPr="00676533">
              <w:rPr>
                <w:rFonts w:asciiTheme="minorHAnsi" w:hAnsiTheme="minorHAnsi" w:cstheme="minorHAnsi"/>
              </w:rPr>
              <w:t> </w:t>
            </w:r>
          </w:p>
          <w:p w14:paraId="0E51DC80" w14:textId="77777777" w:rsidR="00676533" w:rsidRPr="00676533" w:rsidRDefault="00676533" w:rsidP="00676533">
            <w:pPr>
              <w:rPr>
                <w:rFonts w:asciiTheme="minorHAnsi" w:hAnsiTheme="minorHAnsi" w:cstheme="minorHAnsi"/>
              </w:rPr>
            </w:pPr>
            <w:r w:rsidRPr="00676533">
              <w:rPr>
                <w:rFonts w:asciiTheme="minorHAnsi" w:hAnsiTheme="minorHAnsi" w:cstheme="minorHAnsi"/>
              </w:rPr>
              <w:t>Make sure to note that the two years has assumptions and lay those out</w:t>
            </w:r>
          </w:p>
          <w:p w14:paraId="7584DE4F" w14:textId="77777777" w:rsidR="00676533" w:rsidRPr="00676533" w:rsidRDefault="00676533" w:rsidP="00676533">
            <w:pPr>
              <w:numPr>
                <w:ilvl w:val="0"/>
                <w:numId w:val="24"/>
              </w:numPr>
              <w:ind w:left="540"/>
              <w:textAlignment w:val="center"/>
              <w:rPr>
                <w:rFonts w:asciiTheme="minorHAnsi" w:hAnsiTheme="minorHAnsi" w:cstheme="minorHAnsi"/>
              </w:rPr>
            </w:pPr>
            <w:r w:rsidRPr="00676533">
              <w:rPr>
                <w:rFonts w:asciiTheme="minorHAnsi" w:hAnsiTheme="minorHAnsi" w:cstheme="minorHAnsi"/>
              </w:rPr>
              <w:t>Full time</w:t>
            </w:r>
          </w:p>
          <w:p w14:paraId="7CFFF2D0" w14:textId="1CD8ABB3" w:rsidR="00676533" w:rsidRPr="00676533" w:rsidRDefault="00676533" w:rsidP="00BF2529">
            <w:pPr>
              <w:rPr>
                <w:rFonts w:asciiTheme="minorHAnsi" w:hAnsiTheme="minorHAnsi" w:cstheme="minorHAnsi"/>
                <w:szCs w:val="24"/>
              </w:rPr>
            </w:pPr>
          </w:p>
        </w:tc>
        <w:tc>
          <w:tcPr>
            <w:tcW w:w="4686" w:type="dxa"/>
          </w:tcPr>
          <w:p w14:paraId="6168EC80" w14:textId="77777777" w:rsidR="00676533" w:rsidRPr="00676533" w:rsidRDefault="00676533" w:rsidP="00BF2529">
            <w:pPr>
              <w:rPr>
                <w:rFonts w:asciiTheme="minorHAnsi" w:hAnsiTheme="minorHAnsi" w:cstheme="minorHAnsi"/>
                <w:szCs w:val="24"/>
              </w:rPr>
            </w:pPr>
          </w:p>
        </w:tc>
      </w:tr>
      <w:tr w:rsidR="00676533" w:rsidRPr="00676533" w14:paraId="22AD2286" w14:textId="1145CF5B" w:rsidTr="00676533">
        <w:tc>
          <w:tcPr>
            <w:tcW w:w="2732" w:type="dxa"/>
          </w:tcPr>
          <w:p w14:paraId="1CC12382" w14:textId="6FA4BBCF" w:rsidR="00676533" w:rsidRPr="00676533" w:rsidRDefault="00676533" w:rsidP="0021122D">
            <w:pPr>
              <w:rPr>
                <w:rFonts w:asciiTheme="minorHAnsi" w:hAnsiTheme="minorHAnsi" w:cstheme="minorHAnsi"/>
                <w:b/>
                <w:sz w:val="24"/>
                <w:szCs w:val="24"/>
              </w:rPr>
            </w:pPr>
            <w:r w:rsidRPr="00676533">
              <w:rPr>
                <w:rFonts w:asciiTheme="minorHAnsi" w:hAnsiTheme="minorHAnsi" w:cstheme="minorHAnsi"/>
                <w:b/>
                <w:sz w:val="24"/>
                <w:szCs w:val="24"/>
              </w:rPr>
              <w:t>Next Steps</w:t>
            </w:r>
          </w:p>
          <w:p w14:paraId="49C84EDB" w14:textId="6D0610D8" w:rsidR="00676533" w:rsidRPr="00676533" w:rsidRDefault="00676533" w:rsidP="0021122D">
            <w:pPr>
              <w:pStyle w:val="BodyText"/>
              <w:rPr>
                <w:rFonts w:asciiTheme="minorHAnsi" w:hAnsiTheme="minorHAnsi" w:cstheme="minorHAnsi"/>
              </w:rPr>
            </w:pPr>
          </w:p>
        </w:tc>
        <w:tc>
          <w:tcPr>
            <w:tcW w:w="5532" w:type="dxa"/>
          </w:tcPr>
          <w:p w14:paraId="2485FCE7" w14:textId="125A830E" w:rsidR="00676533" w:rsidRPr="00676533" w:rsidRDefault="00676533" w:rsidP="001E5E28">
            <w:pPr>
              <w:rPr>
                <w:rFonts w:asciiTheme="minorHAnsi" w:hAnsiTheme="minorHAnsi" w:cstheme="minorHAnsi"/>
                <w:szCs w:val="24"/>
              </w:rPr>
            </w:pPr>
            <w:r w:rsidRPr="00676533">
              <w:rPr>
                <w:rFonts w:asciiTheme="minorHAnsi" w:hAnsiTheme="minorHAnsi" w:cstheme="minorHAnsi"/>
                <w:szCs w:val="24"/>
              </w:rPr>
              <w:t>All</w:t>
            </w:r>
          </w:p>
        </w:tc>
        <w:tc>
          <w:tcPr>
            <w:tcW w:w="4686" w:type="dxa"/>
          </w:tcPr>
          <w:p w14:paraId="433A4860" w14:textId="77777777" w:rsidR="00676533" w:rsidRDefault="00676533" w:rsidP="001E5E28">
            <w:pPr>
              <w:rPr>
                <w:rFonts w:asciiTheme="minorHAnsi" w:hAnsiTheme="minorHAnsi" w:cstheme="minorHAnsi"/>
                <w:szCs w:val="24"/>
              </w:rPr>
            </w:pPr>
            <w:r>
              <w:rPr>
                <w:rFonts w:asciiTheme="minorHAnsi" w:hAnsiTheme="minorHAnsi" w:cstheme="minorHAnsi"/>
                <w:szCs w:val="24"/>
              </w:rPr>
              <w:t>PRIE will edit the goal statement to accommodate concern that we can’t sustain all degree and certificate programs.</w:t>
            </w:r>
          </w:p>
          <w:p w14:paraId="0874DFEC" w14:textId="77777777" w:rsidR="00676533" w:rsidRDefault="00676533" w:rsidP="001E5E28">
            <w:pPr>
              <w:rPr>
                <w:rFonts w:asciiTheme="minorHAnsi" w:hAnsiTheme="minorHAnsi" w:cstheme="minorHAnsi"/>
                <w:szCs w:val="24"/>
              </w:rPr>
            </w:pPr>
          </w:p>
          <w:p w14:paraId="03010736" w14:textId="77777777" w:rsidR="00676533" w:rsidRDefault="00676533" w:rsidP="001E5E28">
            <w:pPr>
              <w:rPr>
                <w:rFonts w:asciiTheme="minorHAnsi" w:hAnsiTheme="minorHAnsi" w:cstheme="minorHAnsi"/>
                <w:szCs w:val="24"/>
              </w:rPr>
            </w:pPr>
            <w:r>
              <w:rPr>
                <w:rFonts w:asciiTheme="minorHAnsi" w:hAnsiTheme="minorHAnsi" w:cstheme="minorHAnsi"/>
                <w:szCs w:val="24"/>
              </w:rPr>
              <w:t>Address GM concern re enrollment (FTES) as an explicit goal.  If this strategic approach and set of goals will address our drop in FTES, need to be explicit about how and set our metrics (numerical goals) accordingly.</w:t>
            </w:r>
          </w:p>
          <w:p w14:paraId="610CAD9F" w14:textId="77777777" w:rsidR="00676533" w:rsidRDefault="00676533" w:rsidP="001E5E28">
            <w:pPr>
              <w:rPr>
                <w:rFonts w:asciiTheme="minorHAnsi" w:hAnsiTheme="minorHAnsi" w:cstheme="minorHAnsi"/>
                <w:szCs w:val="24"/>
              </w:rPr>
            </w:pPr>
          </w:p>
          <w:p w14:paraId="3DE74440" w14:textId="77777777" w:rsidR="00676533" w:rsidRDefault="00676533" w:rsidP="001E5E28">
            <w:pPr>
              <w:rPr>
                <w:rFonts w:asciiTheme="minorHAnsi" w:hAnsiTheme="minorHAnsi" w:cstheme="minorHAnsi"/>
                <w:szCs w:val="24"/>
              </w:rPr>
            </w:pPr>
            <w:r>
              <w:rPr>
                <w:rFonts w:asciiTheme="minorHAnsi" w:hAnsiTheme="minorHAnsi" w:cstheme="minorHAnsi"/>
                <w:szCs w:val="24"/>
              </w:rPr>
              <w:t>PRIE to look at impact of local degree requirements may be in excess of AD-T requirements – is this a disincentive for earning local degrees?</w:t>
            </w:r>
          </w:p>
          <w:p w14:paraId="5C32C49A" w14:textId="77777777" w:rsidR="00676533" w:rsidRDefault="00676533" w:rsidP="001E5E28">
            <w:pPr>
              <w:rPr>
                <w:rFonts w:asciiTheme="minorHAnsi" w:hAnsiTheme="minorHAnsi" w:cstheme="minorHAnsi"/>
                <w:szCs w:val="24"/>
              </w:rPr>
            </w:pPr>
          </w:p>
          <w:p w14:paraId="76FF112A" w14:textId="77777777" w:rsidR="00676533" w:rsidRDefault="00676533" w:rsidP="001E5E28">
            <w:pPr>
              <w:rPr>
                <w:rFonts w:asciiTheme="minorHAnsi" w:hAnsiTheme="minorHAnsi" w:cstheme="minorHAnsi"/>
                <w:szCs w:val="24"/>
              </w:rPr>
            </w:pPr>
            <w:r>
              <w:rPr>
                <w:rFonts w:asciiTheme="minorHAnsi" w:hAnsiTheme="minorHAnsi" w:cstheme="minorHAnsi"/>
                <w:szCs w:val="24"/>
              </w:rPr>
              <w:lastRenderedPageBreak/>
              <w:t>Have AD-T’s increased the number of degrees conferred?</w:t>
            </w:r>
          </w:p>
          <w:p w14:paraId="38DDD22B" w14:textId="77777777" w:rsidR="00676533" w:rsidRDefault="00676533" w:rsidP="001E5E28">
            <w:pPr>
              <w:rPr>
                <w:rFonts w:asciiTheme="minorHAnsi" w:hAnsiTheme="minorHAnsi" w:cstheme="minorHAnsi"/>
                <w:szCs w:val="24"/>
              </w:rPr>
            </w:pPr>
          </w:p>
          <w:p w14:paraId="3E309C44" w14:textId="0C16ADC9" w:rsidR="00676533" w:rsidRPr="00676533" w:rsidRDefault="00676533" w:rsidP="001E5E28">
            <w:pPr>
              <w:rPr>
                <w:rFonts w:asciiTheme="minorHAnsi" w:hAnsiTheme="minorHAnsi" w:cstheme="minorHAnsi"/>
                <w:szCs w:val="24"/>
              </w:rPr>
            </w:pPr>
            <w:r>
              <w:rPr>
                <w:rFonts w:asciiTheme="minorHAnsi" w:hAnsiTheme="minorHAnsi" w:cstheme="minorHAnsi"/>
                <w:szCs w:val="24"/>
              </w:rPr>
              <w:t>When creating the new College Scorecard:  yes, keep 100% (2 year completion) goal metric.  Also include 150% and 200% completion rates.</w:t>
            </w:r>
            <w:bookmarkStart w:id="0" w:name="_GoBack"/>
            <w:bookmarkEnd w:id="0"/>
          </w:p>
        </w:tc>
      </w:tr>
      <w:tr w:rsidR="00676533" w:rsidRPr="00676533" w14:paraId="6E861ABB" w14:textId="69E7BE1C" w:rsidTr="00676533">
        <w:tc>
          <w:tcPr>
            <w:tcW w:w="2732" w:type="dxa"/>
          </w:tcPr>
          <w:p w14:paraId="1058FD27" w14:textId="77777777" w:rsidR="00676533" w:rsidRPr="00676533" w:rsidRDefault="00676533" w:rsidP="0021122D">
            <w:pPr>
              <w:rPr>
                <w:rFonts w:asciiTheme="minorHAnsi" w:hAnsiTheme="minorHAnsi" w:cstheme="minorHAnsi"/>
                <w:b/>
                <w:sz w:val="24"/>
              </w:rPr>
            </w:pPr>
            <w:r w:rsidRPr="00676533">
              <w:rPr>
                <w:rFonts w:asciiTheme="minorHAnsi" w:hAnsiTheme="minorHAnsi" w:cstheme="minorHAnsi"/>
                <w:b/>
                <w:sz w:val="24"/>
              </w:rPr>
              <w:lastRenderedPageBreak/>
              <w:t>ADJOURN</w:t>
            </w:r>
          </w:p>
          <w:p w14:paraId="055C4E6D" w14:textId="7F9BA013" w:rsidR="00676533" w:rsidRPr="00676533" w:rsidRDefault="00676533" w:rsidP="0021122D">
            <w:pPr>
              <w:rPr>
                <w:rFonts w:asciiTheme="minorHAnsi" w:hAnsiTheme="minorHAnsi" w:cstheme="minorHAnsi"/>
                <w:b/>
                <w:sz w:val="24"/>
                <w:szCs w:val="24"/>
              </w:rPr>
            </w:pPr>
          </w:p>
        </w:tc>
        <w:tc>
          <w:tcPr>
            <w:tcW w:w="5532" w:type="dxa"/>
          </w:tcPr>
          <w:p w14:paraId="4139636B" w14:textId="77777777" w:rsidR="00676533" w:rsidRPr="00676533" w:rsidRDefault="00676533" w:rsidP="0021122D">
            <w:pPr>
              <w:rPr>
                <w:rFonts w:asciiTheme="minorHAnsi" w:hAnsiTheme="minorHAnsi" w:cstheme="minorHAnsi"/>
                <w:sz w:val="24"/>
                <w:szCs w:val="24"/>
              </w:rPr>
            </w:pPr>
          </w:p>
        </w:tc>
        <w:tc>
          <w:tcPr>
            <w:tcW w:w="4686" w:type="dxa"/>
          </w:tcPr>
          <w:p w14:paraId="7A75171A" w14:textId="77777777" w:rsidR="00676533" w:rsidRPr="00676533" w:rsidRDefault="00676533" w:rsidP="0021122D">
            <w:pPr>
              <w:rPr>
                <w:rFonts w:asciiTheme="minorHAnsi" w:hAnsiTheme="minorHAnsi" w:cstheme="minorHAnsi"/>
                <w:sz w:val="24"/>
                <w:szCs w:val="24"/>
              </w:rPr>
            </w:pPr>
          </w:p>
        </w:tc>
      </w:tr>
    </w:tbl>
    <w:p w14:paraId="53A4590D" w14:textId="29B7B735" w:rsidR="00BF2529" w:rsidRPr="00676533" w:rsidRDefault="00987332" w:rsidP="00BC129B">
      <w:pPr>
        <w:pStyle w:val="BodyText"/>
        <w:ind w:left="360"/>
        <w:rPr>
          <w:rFonts w:asciiTheme="minorHAnsi" w:hAnsiTheme="minorHAnsi" w:cstheme="minorHAnsi"/>
          <w:b w:val="0"/>
        </w:rPr>
      </w:pPr>
      <w:r w:rsidRPr="00676533">
        <w:rPr>
          <w:rFonts w:asciiTheme="minorHAnsi" w:hAnsiTheme="minorHAnsi" w:cstheme="minorHAnsi"/>
        </w:rPr>
        <w:br w:type="textWrapping" w:clear="all"/>
      </w:r>
    </w:p>
    <w:sectPr w:rsidR="00BF2529" w:rsidRPr="00676533" w:rsidSect="00676533">
      <w:type w:val="continuous"/>
      <w:pgSz w:w="15840" w:h="12240" w:orient="landscape"/>
      <w:pgMar w:top="864" w:right="1440" w:bottom="86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22502"/>
    <w:multiLevelType w:val="hybridMultilevel"/>
    <w:tmpl w:val="E16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63D8"/>
    <w:multiLevelType w:val="multilevel"/>
    <w:tmpl w:val="5B122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A3B08"/>
    <w:multiLevelType w:val="hybridMultilevel"/>
    <w:tmpl w:val="B39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F3DDF"/>
    <w:multiLevelType w:val="hybridMultilevel"/>
    <w:tmpl w:val="84B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7E75628"/>
    <w:multiLevelType w:val="hybridMultilevel"/>
    <w:tmpl w:val="044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5110F"/>
    <w:multiLevelType w:val="hybridMultilevel"/>
    <w:tmpl w:val="569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B624E"/>
    <w:multiLevelType w:val="multilevel"/>
    <w:tmpl w:val="3978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C56F6"/>
    <w:multiLevelType w:val="multilevel"/>
    <w:tmpl w:val="D2C4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20D2B"/>
    <w:multiLevelType w:val="hybridMultilevel"/>
    <w:tmpl w:val="AB8EE390"/>
    <w:lvl w:ilvl="0" w:tplc="96EEA82C">
      <w:start w:val="1"/>
      <w:numFmt w:val="bullet"/>
      <w:lvlText w:val="•"/>
      <w:lvlJc w:val="left"/>
      <w:pPr>
        <w:tabs>
          <w:tab w:val="num" w:pos="360"/>
        </w:tabs>
        <w:ind w:left="360" w:hanging="360"/>
      </w:pPr>
      <w:rPr>
        <w:rFonts w:ascii="Arial" w:hAnsi="Arial" w:hint="default"/>
      </w:rPr>
    </w:lvl>
    <w:lvl w:ilvl="1" w:tplc="3CB6931E">
      <w:numFmt w:val="bullet"/>
      <w:lvlText w:val="•"/>
      <w:lvlJc w:val="left"/>
      <w:pPr>
        <w:tabs>
          <w:tab w:val="num" w:pos="1080"/>
        </w:tabs>
        <w:ind w:left="1080" w:hanging="360"/>
      </w:pPr>
      <w:rPr>
        <w:rFonts w:ascii="Arial" w:hAnsi="Arial" w:hint="default"/>
      </w:rPr>
    </w:lvl>
    <w:lvl w:ilvl="2" w:tplc="5F64ED68" w:tentative="1">
      <w:start w:val="1"/>
      <w:numFmt w:val="bullet"/>
      <w:lvlText w:val="•"/>
      <w:lvlJc w:val="left"/>
      <w:pPr>
        <w:tabs>
          <w:tab w:val="num" w:pos="1800"/>
        </w:tabs>
        <w:ind w:left="1800" w:hanging="360"/>
      </w:pPr>
      <w:rPr>
        <w:rFonts w:ascii="Arial" w:hAnsi="Arial" w:hint="default"/>
      </w:rPr>
    </w:lvl>
    <w:lvl w:ilvl="3" w:tplc="481266F4" w:tentative="1">
      <w:start w:val="1"/>
      <w:numFmt w:val="bullet"/>
      <w:lvlText w:val="•"/>
      <w:lvlJc w:val="left"/>
      <w:pPr>
        <w:tabs>
          <w:tab w:val="num" w:pos="2520"/>
        </w:tabs>
        <w:ind w:left="2520" w:hanging="360"/>
      </w:pPr>
      <w:rPr>
        <w:rFonts w:ascii="Arial" w:hAnsi="Arial" w:hint="default"/>
      </w:rPr>
    </w:lvl>
    <w:lvl w:ilvl="4" w:tplc="FFB6AD22" w:tentative="1">
      <w:start w:val="1"/>
      <w:numFmt w:val="bullet"/>
      <w:lvlText w:val="•"/>
      <w:lvlJc w:val="left"/>
      <w:pPr>
        <w:tabs>
          <w:tab w:val="num" w:pos="3240"/>
        </w:tabs>
        <w:ind w:left="3240" w:hanging="360"/>
      </w:pPr>
      <w:rPr>
        <w:rFonts w:ascii="Arial" w:hAnsi="Arial" w:hint="default"/>
      </w:rPr>
    </w:lvl>
    <w:lvl w:ilvl="5" w:tplc="79A06358" w:tentative="1">
      <w:start w:val="1"/>
      <w:numFmt w:val="bullet"/>
      <w:lvlText w:val="•"/>
      <w:lvlJc w:val="left"/>
      <w:pPr>
        <w:tabs>
          <w:tab w:val="num" w:pos="3960"/>
        </w:tabs>
        <w:ind w:left="3960" w:hanging="360"/>
      </w:pPr>
      <w:rPr>
        <w:rFonts w:ascii="Arial" w:hAnsi="Arial" w:hint="default"/>
      </w:rPr>
    </w:lvl>
    <w:lvl w:ilvl="6" w:tplc="7F56A23C" w:tentative="1">
      <w:start w:val="1"/>
      <w:numFmt w:val="bullet"/>
      <w:lvlText w:val="•"/>
      <w:lvlJc w:val="left"/>
      <w:pPr>
        <w:tabs>
          <w:tab w:val="num" w:pos="4680"/>
        </w:tabs>
        <w:ind w:left="4680" w:hanging="360"/>
      </w:pPr>
      <w:rPr>
        <w:rFonts w:ascii="Arial" w:hAnsi="Arial" w:hint="default"/>
      </w:rPr>
    </w:lvl>
    <w:lvl w:ilvl="7" w:tplc="62B0750C" w:tentative="1">
      <w:start w:val="1"/>
      <w:numFmt w:val="bullet"/>
      <w:lvlText w:val="•"/>
      <w:lvlJc w:val="left"/>
      <w:pPr>
        <w:tabs>
          <w:tab w:val="num" w:pos="5400"/>
        </w:tabs>
        <w:ind w:left="5400" w:hanging="360"/>
      </w:pPr>
      <w:rPr>
        <w:rFonts w:ascii="Arial" w:hAnsi="Arial" w:hint="default"/>
      </w:rPr>
    </w:lvl>
    <w:lvl w:ilvl="8" w:tplc="B03452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51D11"/>
    <w:multiLevelType w:val="hybridMultilevel"/>
    <w:tmpl w:val="81A6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A4B45"/>
    <w:multiLevelType w:val="hybridMultilevel"/>
    <w:tmpl w:val="A63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D359C"/>
    <w:multiLevelType w:val="hybridMultilevel"/>
    <w:tmpl w:val="DA4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02BE6"/>
    <w:multiLevelType w:val="hybridMultilevel"/>
    <w:tmpl w:val="80E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1521E"/>
    <w:multiLevelType w:val="hybridMultilevel"/>
    <w:tmpl w:val="323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3"/>
  </w:num>
  <w:num w:numId="5">
    <w:abstractNumId w:val="15"/>
  </w:num>
  <w:num w:numId="6">
    <w:abstractNumId w:val="20"/>
  </w:num>
  <w:num w:numId="7">
    <w:abstractNumId w:val="5"/>
  </w:num>
  <w:num w:numId="8">
    <w:abstractNumId w:val="18"/>
  </w:num>
  <w:num w:numId="9">
    <w:abstractNumId w:val="16"/>
  </w:num>
  <w:num w:numId="10">
    <w:abstractNumId w:val="1"/>
  </w:num>
  <w:num w:numId="11">
    <w:abstractNumId w:val="14"/>
  </w:num>
  <w:num w:numId="12">
    <w:abstractNumId w:val="17"/>
  </w:num>
  <w:num w:numId="13">
    <w:abstractNumId w:val="22"/>
  </w:num>
  <w:num w:numId="14">
    <w:abstractNumId w:val="21"/>
  </w:num>
  <w:num w:numId="15">
    <w:abstractNumId w:val="7"/>
  </w:num>
  <w:num w:numId="16">
    <w:abstractNumId w:val="3"/>
  </w:num>
  <w:num w:numId="17">
    <w:abstractNumId w:val="10"/>
  </w:num>
  <w:num w:numId="18">
    <w:abstractNumId w:val="23"/>
  </w:num>
  <w:num w:numId="19">
    <w:abstractNumId w:val="24"/>
  </w:num>
  <w:num w:numId="20">
    <w:abstractNumId w:val="6"/>
  </w:num>
  <w:num w:numId="21">
    <w:abstractNumId w:val="9"/>
  </w:num>
  <w:num w:numId="22">
    <w:abstractNumId w:val="19"/>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70DA6"/>
    <w:rsid w:val="000F4797"/>
    <w:rsid w:val="00104CC9"/>
    <w:rsid w:val="00122A3E"/>
    <w:rsid w:val="00175E43"/>
    <w:rsid w:val="001D09C0"/>
    <w:rsid w:val="001E5E28"/>
    <w:rsid w:val="0021122D"/>
    <w:rsid w:val="00212324"/>
    <w:rsid w:val="00224914"/>
    <w:rsid w:val="002329BF"/>
    <w:rsid w:val="00280091"/>
    <w:rsid w:val="00280566"/>
    <w:rsid w:val="002A05D8"/>
    <w:rsid w:val="002B7D91"/>
    <w:rsid w:val="002C6110"/>
    <w:rsid w:val="002F09DA"/>
    <w:rsid w:val="003461D2"/>
    <w:rsid w:val="003A3CC8"/>
    <w:rsid w:val="003C3D5F"/>
    <w:rsid w:val="003F3541"/>
    <w:rsid w:val="00416A4E"/>
    <w:rsid w:val="00462183"/>
    <w:rsid w:val="004D2904"/>
    <w:rsid w:val="004E0BA9"/>
    <w:rsid w:val="00505B08"/>
    <w:rsid w:val="0051578C"/>
    <w:rsid w:val="0055556E"/>
    <w:rsid w:val="005A1E0B"/>
    <w:rsid w:val="005C582E"/>
    <w:rsid w:val="00632491"/>
    <w:rsid w:val="00676533"/>
    <w:rsid w:val="00682002"/>
    <w:rsid w:val="006A4CE7"/>
    <w:rsid w:val="007476CE"/>
    <w:rsid w:val="00750005"/>
    <w:rsid w:val="00771FBD"/>
    <w:rsid w:val="00794D05"/>
    <w:rsid w:val="00797474"/>
    <w:rsid w:val="007B4E43"/>
    <w:rsid w:val="007C64A6"/>
    <w:rsid w:val="007F498B"/>
    <w:rsid w:val="008547D3"/>
    <w:rsid w:val="0086411B"/>
    <w:rsid w:val="00884AAC"/>
    <w:rsid w:val="00887F5E"/>
    <w:rsid w:val="008913AD"/>
    <w:rsid w:val="008B229F"/>
    <w:rsid w:val="008B68C5"/>
    <w:rsid w:val="008F5DF8"/>
    <w:rsid w:val="0090089F"/>
    <w:rsid w:val="00911B30"/>
    <w:rsid w:val="0092043B"/>
    <w:rsid w:val="00987332"/>
    <w:rsid w:val="009F0BD3"/>
    <w:rsid w:val="00A15ACF"/>
    <w:rsid w:val="00A227E8"/>
    <w:rsid w:val="00A314F6"/>
    <w:rsid w:val="00A37327"/>
    <w:rsid w:val="00A56831"/>
    <w:rsid w:val="00A62228"/>
    <w:rsid w:val="00AD083B"/>
    <w:rsid w:val="00B41321"/>
    <w:rsid w:val="00B7067E"/>
    <w:rsid w:val="00BB0DCB"/>
    <w:rsid w:val="00BB3913"/>
    <w:rsid w:val="00BB770D"/>
    <w:rsid w:val="00BC129B"/>
    <w:rsid w:val="00BD604A"/>
    <w:rsid w:val="00BF2529"/>
    <w:rsid w:val="00BF579D"/>
    <w:rsid w:val="00C03242"/>
    <w:rsid w:val="00C37B48"/>
    <w:rsid w:val="00C65EF9"/>
    <w:rsid w:val="00D25190"/>
    <w:rsid w:val="00D41105"/>
    <w:rsid w:val="00D57F5D"/>
    <w:rsid w:val="00D62F51"/>
    <w:rsid w:val="00D63463"/>
    <w:rsid w:val="00DF013C"/>
    <w:rsid w:val="00E55DFA"/>
    <w:rsid w:val="00E726FC"/>
    <w:rsid w:val="00E72B88"/>
    <w:rsid w:val="00EB35EE"/>
    <w:rsid w:val="00EB3FB9"/>
    <w:rsid w:val="00EF349D"/>
    <w:rsid w:val="00F03D39"/>
    <w:rsid w:val="00F22DD4"/>
    <w:rsid w:val="00F8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566">
      <w:bodyDiv w:val="1"/>
      <w:marLeft w:val="0"/>
      <w:marRight w:val="0"/>
      <w:marTop w:val="0"/>
      <w:marBottom w:val="0"/>
      <w:divBdr>
        <w:top w:val="none" w:sz="0" w:space="0" w:color="auto"/>
        <w:left w:val="none" w:sz="0" w:space="0" w:color="auto"/>
        <w:bottom w:val="none" w:sz="0" w:space="0" w:color="auto"/>
        <w:right w:val="none" w:sz="0" w:space="0" w:color="auto"/>
      </w:divBdr>
      <w:divsChild>
        <w:div w:id="379788524">
          <w:marLeft w:val="360"/>
          <w:marRight w:val="0"/>
          <w:marTop w:val="200"/>
          <w:marBottom w:val="0"/>
          <w:divBdr>
            <w:top w:val="none" w:sz="0" w:space="0" w:color="auto"/>
            <w:left w:val="none" w:sz="0" w:space="0" w:color="auto"/>
            <w:bottom w:val="none" w:sz="0" w:space="0" w:color="auto"/>
            <w:right w:val="none" w:sz="0" w:space="0" w:color="auto"/>
          </w:divBdr>
        </w:div>
        <w:div w:id="1646661833">
          <w:marLeft w:val="360"/>
          <w:marRight w:val="0"/>
          <w:marTop w:val="200"/>
          <w:marBottom w:val="0"/>
          <w:divBdr>
            <w:top w:val="none" w:sz="0" w:space="0" w:color="auto"/>
            <w:left w:val="none" w:sz="0" w:space="0" w:color="auto"/>
            <w:bottom w:val="none" w:sz="0" w:space="0" w:color="auto"/>
            <w:right w:val="none" w:sz="0" w:space="0" w:color="auto"/>
          </w:divBdr>
        </w:div>
        <w:div w:id="65344326">
          <w:marLeft w:val="360"/>
          <w:marRight w:val="0"/>
          <w:marTop w:val="200"/>
          <w:marBottom w:val="0"/>
          <w:divBdr>
            <w:top w:val="none" w:sz="0" w:space="0" w:color="auto"/>
            <w:left w:val="none" w:sz="0" w:space="0" w:color="auto"/>
            <w:bottom w:val="none" w:sz="0" w:space="0" w:color="auto"/>
            <w:right w:val="none" w:sz="0" w:space="0" w:color="auto"/>
          </w:divBdr>
        </w:div>
        <w:div w:id="972365385">
          <w:marLeft w:val="360"/>
          <w:marRight w:val="0"/>
          <w:marTop w:val="200"/>
          <w:marBottom w:val="0"/>
          <w:divBdr>
            <w:top w:val="none" w:sz="0" w:space="0" w:color="auto"/>
            <w:left w:val="none" w:sz="0" w:space="0" w:color="auto"/>
            <w:bottom w:val="none" w:sz="0" w:space="0" w:color="auto"/>
            <w:right w:val="none" w:sz="0" w:space="0" w:color="auto"/>
          </w:divBdr>
        </w:div>
        <w:div w:id="1007295027">
          <w:marLeft w:val="360"/>
          <w:marRight w:val="0"/>
          <w:marTop w:val="200"/>
          <w:marBottom w:val="0"/>
          <w:divBdr>
            <w:top w:val="none" w:sz="0" w:space="0" w:color="auto"/>
            <w:left w:val="none" w:sz="0" w:space="0" w:color="auto"/>
            <w:bottom w:val="none" w:sz="0" w:space="0" w:color="auto"/>
            <w:right w:val="none" w:sz="0" w:space="0" w:color="auto"/>
          </w:divBdr>
        </w:div>
        <w:div w:id="1231043955">
          <w:marLeft w:val="1080"/>
          <w:marRight w:val="0"/>
          <w:marTop w:val="100"/>
          <w:marBottom w:val="0"/>
          <w:divBdr>
            <w:top w:val="none" w:sz="0" w:space="0" w:color="auto"/>
            <w:left w:val="none" w:sz="0" w:space="0" w:color="auto"/>
            <w:bottom w:val="none" w:sz="0" w:space="0" w:color="auto"/>
            <w:right w:val="none" w:sz="0" w:space="0" w:color="auto"/>
          </w:divBdr>
        </w:div>
        <w:div w:id="864707498">
          <w:marLeft w:val="1080"/>
          <w:marRight w:val="0"/>
          <w:marTop w:val="100"/>
          <w:marBottom w:val="0"/>
          <w:divBdr>
            <w:top w:val="none" w:sz="0" w:space="0" w:color="auto"/>
            <w:left w:val="none" w:sz="0" w:space="0" w:color="auto"/>
            <w:bottom w:val="none" w:sz="0" w:space="0" w:color="auto"/>
            <w:right w:val="none" w:sz="0" w:space="0" w:color="auto"/>
          </w:divBdr>
        </w:div>
        <w:div w:id="1355690599">
          <w:marLeft w:val="1080"/>
          <w:marRight w:val="0"/>
          <w:marTop w:val="100"/>
          <w:marBottom w:val="0"/>
          <w:divBdr>
            <w:top w:val="none" w:sz="0" w:space="0" w:color="auto"/>
            <w:left w:val="none" w:sz="0" w:space="0" w:color="auto"/>
            <w:bottom w:val="none" w:sz="0" w:space="0" w:color="auto"/>
            <w:right w:val="none" w:sz="0" w:space="0" w:color="auto"/>
          </w:divBdr>
        </w:div>
      </w:divsChild>
    </w:div>
    <w:div w:id="875460209">
      <w:bodyDiv w:val="1"/>
      <w:marLeft w:val="0"/>
      <w:marRight w:val="0"/>
      <w:marTop w:val="0"/>
      <w:marBottom w:val="0"/>
      <w:divBdr>
        <w:top w:val="none" w:sz="0" w:space="0" w:color="auto"/>
        <w:left w:val="none" w:sz="0" w:space="0" w:color="auto"/>
        <w:bottom w:val="none" w:sz="0" w:space="0" w:color="auto"/>
        <w:right w:val="none" w:sz="0" w:space="0" w:color="auto"/>
      </w:divBdr>
    </w:div>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 w:id="1247231397">
      <w:bodyDiv w:val="1"/>
      <w:marLeft w:val="0"/>
      <w:marRight w:val="0"/>
      <w:marTop w:val="0"/>
      <w:marBottom w:val="0"/>
      <w:divBdr>
        <w:top w:val="none" w:sz="0" w:space="0" w:color="auto"/>
        <w:left w:val="none" w:sz="0" w:space="0" w:color="auto"/>
        <w:bottom w:val="none" w:sz="0" w:space="0" w:color="auto"/>
        <w:right w:val="none" w:sz="0" w:space="0" w:color="auto"/>
      </w:divBdr>
    </w:div>
    <w:div w:id="185395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A6F6-FAE3-418D-8A7A-BA956674A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FFDE7-8B70-4D08-A954-9491BF52DDE6}">
  <ds:schemaRefs>
    <ds:schemaRef ds:uri="http://schemas.microsoft.com/sharepoint/v3/contenttype/forms"/>
  </ds:schemaRefs>
</ds:datastoreItem>
</file>

<file path=customXml/itemProps3.xml><?xml version="1.0" encoding="utf-8"?>
<ds:datastoreItem xmlns:ds="http://schemas.openxmlformats.org/officeDocument/2006/customXml" ds:itemID="{76279C9C-939A-4440-9AC0-D2F7285A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2</cp:revision>
  <cp:lastPrinted>2019-08-07T15:49:00Z</cp:lastPrinted>
  <dcterms:created xsi:type="dcterms:W3CDTF">2019-11-01T01:35:00Z</dcterms:created>
  <dcterms:modified xsi:type="dcterms:W3CDTF">2019-11-01T01:35:00Z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