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2090" cy="741806"/>
                    </a:xfrm>
                    <a:prstGeom prst="rect">
                      <a:avLst/>
                    </a:prstGeom>
                  </pic:spPr>
                </pic:pic>
              </a:graphicData>
            </a:graphic>
          </wp:inline>
        </w:drawing>
      </w:r>
    </w:p>
    <w:p w14:paraId="14466AFF" w14:textId="20309800"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r w:rsidR="008547D3" w:rsidRPr="002A05D8">
        <w:rPr>
          <w:rFonts w:asciiTheme="minorHAnsi" w:hAnsiTheme="minorHAnsi" w:cstheme="minorHAnsi"/>
          <w:sz w:val="32"/>
        </w:rPr>
        <w:t xml:space="preserve"> </w:t>
      </w:r>
    </w:p>
    <w:p w14:paraId="7FD984A1" w14:textId="7D5EF042" w:rsidR="00BB3913" w:rsidRPr="002A05D8" w:rsidRDefault="008547D3">
      <w:pPr>
        <w:pStyle w:val="BodyText"/>
        <w:spacing w:before="163"/>
        <w:ind w:left="3136" w:right="3434"/>
        <w:jc w:val="center"/>
        <w:rPr>
          <w:rFonts w:asciiTheme="minorHAnsi" w:hAnsiTheme="minorHAnsi" w:cstheme="minorHAnsi"/>
        </w:rPr>
      </w:pPr>
      <w:r w:rsidRPr="002A05D8">
        <w:rPr>
          <w:rFonts w:asciiTheme="minorHAnsi" w:hAnsiTheme="minorHAnsi" w:cstheme="minorHAnsi"/>
        </w:rPr>
        <w:t xml:space="preserve">MEETING </w:t>
      </w:r>
      <w:r w:rsidR="00766B1B" w:rsidRPr="00766B1B">
        <w:rPr>
          <w:rFonts w:asciiTheme="minorHAnsi" w:hAnsiTheme="minorHAnsi" w:cstheme="minorHAnsi"/>
          <w:color w:val="FF0000"/>
        </w:rPr>
        <w:t>MINUTES</w:t>
      </w:r>
    </w:p>
    <w:p w14:paraId="56C21CA2" w14:textId="5456698C"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BB0DCB">
        <w:rPr>
          <w:rFonts w:asciiTheme="minorHAnsi" w:hAnsiTheme="minorHAnsi" w:cstheme="minorHAnsi"/>
        </w:rPr>
        <w:t>March 13</w:t>
      </w:r>
      <w:r w:rsidR="00462183">
        <w:rPr>
          <w:rFonts w:asciiTheme="minorHAnsi" w:hAnsiTheme="minorHAnsi" w:cstheme="minorHAnsi"/>
        </w:rPr>
        <w:t>, 2019</w:t>
      </w:r>
    </w:p>
    <w:p w14:paraId="65205AE8" w14:textId="7480F865"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070DA6">
        <w:rPr>
          <w:rFonts w:asciiTheme="minorHAnsi" w:hAnsiTheme="minorHAnsi" w:cstheme="minorHAnsi"/>
        </w:rPr>
        <w:t>19</w:t>
      </w:r>
    </w:p>
    <w:p w14:paraId="004D186A" w14:textId="1D597E5F" w:rsidR="002A05D8" w:rsidRPr="002A05D8" w:rsidRDefault="002A05D8">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9:00 – 10:00 a.m.</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3505"/>
        <w:gridCol w:w="6750"/>
      </w:tblGrid>
      <w:tr w:rsidR="00C551D8" w:rsidRPr="002A05D8" w14:paraId="4C5FA3E1" w14:textId="77777777" w:rsidTr="00C551D8">
        <w:tc>
          <w:tcPr>
            <w:tcW w:w="3505" w:type="dxa"/>
            <w:vAlign w:val="center"/>
          </w:tcPr>
          <w:p w14:paraId="3A745B29" w14:textId="78066970" w:rsidR="00C551D8" w:rsidRPr="002A05D8" w:rsidRDefault="00C551D8" w:rsidP="002A05D8">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p w14:paraId="715C5553" w14:textId="791F2250" w:rsidR="00C551D8" w:rsidRPr="002A05D8" w:rsidRDefault="00C551D8" w:rsidP="002A05D8">
            <w:pPr>
              <w:jc w:val="center"/>
              <w:rPr>
                <w:rFonts w:asciiTheme="minorHAnsi" w:hAnsiTheme="minorHAnsi" w:cstheme="minorHAnsi"/>
                <w:b/>
                <w:sz w:val="24"/>
                <w:szCs w:val="24"/>
              </w:rPr>
            </w:pPr>
          </w:p>
        </w:tc>
        <w:tc>
          <w:tcPr>
            <w:tcW w:w="6750" w:type="dxa"/>
            <w:vAlign w:val="center"/>
          </w:tcPr>
          <w:p w14:paraId="7E423F85" w14:textId="4C700159" w:rsidR="00C551D8" w:rsidRPr="002A05D8" w:rsidRDefault="00C551D8" w:rsidP="002A05D8">
            <w:pPr>
              <w:jc w:val="center"/>
              <w:rPr>
                <w:rFonts w:asciiTheme="minorHAnsi" w:hAnsiTheme="minorHAnsi" w:cstheme="minorHAnsi"/>
                <w:b/>
                <w:sz w:val="24"/>
                <w:szCs w:val="24"/>
              </w:rPr>
            </w:pPr>
            <w:r w:rsidRPr="002A05D8">
              <w:rPr>
                <w:rFonts w:asciiTheme="minorHAnsi" w:hAnsiTheme="minorHAnsi" w:cstheme="minorHAnsi"/>
                <w:b/>
                <w:sz w:val="24"/>
                <w:szCs w:val="24"/>
              </w:rPr>
              <w:t>Discussion Lead</w:t>
            </w:r>
          </w:p>
        </w:tc>
      </w:tr>
      <w:tr w:rsidR="00C551D8" w:rsidRPr="002A05D8" w14:paraId="65D3DB46" w14:textId="77777777" w:rsidTr="00C551D8">
        <w:tc>
          <w:tcPr>
            <w:tcW w:w="3505" w:type="dxa"/>
          </w:tcPr>
          <w:p w14:paraId="5ED72123" w14:textId="77777777" w:rsidR="00C551D8" w:rsidRPr="008304E4" w:rsidRDefault="00C551D8" w:rsidP="005A1E0B">
            <w:pPr>
              <w:rPr>
                <w:rFonts w:asciiTheme="minorHAnsi" w:hAnsiTheme="minorHAnsi" w:cstheme="minorHAnsi"/>
                <w:b/>
                <w:szCs w:val="24"/>
              </w:rPr>
            </w:pPr>
            <w:r w:rsidRPr="008304E4">
              <w:rPr>
                <w:rFonts w:asciiTheme="minorHAnsi" w:hAnsiTheme="minorHAnsi" w:cstheme="minorHAnsi"/>
                <w:b/>
                <w:szCs w:val="24"/>
              </w:rPr>
              <w:t xml:space="preserve">Re-Cap of Previous Sessions </w:t>
            </w:r>
          </w:p>
          <w:p w14:paraId="7E1F122E" w14:textId="0F371ADF" w:rsidR="00C551D8" w:rsidRPr="008304E4" w:rsidRDefault="00C551D8" w:rsidP="005A1E0B">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College for Working Adults – James/David R.</w:t>
            </w:r>
          </w:p>
          <w:p w14:paraId="09096015" w14:textId="3CE58F81" w:rsidR="00C551D8" w:rsidRPr="008304E4" w:rsidRDefault="00C551D8" w:rsidP="005A1E0B">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Early College and Dual Enrollment – Tammy</w:t>
            </w:r>
          </w:p>
          <w:p w14:paraId="1B6562FB" w14:textId="1F86A2A8" w:rsidR="00C551D8" w:rsidRPr="008304E4" w:rsidRDefault="00C551D8" w:rsidP="005A1E0B">
            <w:pPr>
              <w:pStyle w:val="ListParagraph"/>
              <w:numPr>
                <w:ilvl w:val="0"/>
                <w:numId w:val="9"/>
              </w:numPr>
              <w:rPr>
                <w:rFonts w:asciiTheme="minorHAnsi" w:eastAsiaTheme="minorHAnsi" w:hAnsiTheme="minorHAnsi" w:cstheme="minorHAnsi"/>
                <w:lang w:bidi="ar-SA"/>
              </w:rPr>
            </w:pPr>
            <w:r w:rsidRPr="008304E4">
              <w:rPr>
                <w:rFonts w:asciiTheme="minorHAnsi" w:eastAsiaTheme="minorHAnsi" w:hAnsiTheme="minorHAnsi" w:cstheme="minorHAnsi"/>
                <w:lang w:bidi="ar-SA"/>
              </w:rPr>
              <w:t>Priority Engagement Program (new PEP) – Max</w:t>
            </w:r>
          </w:p>
          <w:p w14:paraId="0178999A" w14:textId="00C7D897" w:rsidR="00C551D8" w:rsidRPr="008304E4" w:rsidRDefault="00C551D8" w:rsidP="00BB770D">
            <w:pPr>
              <w:pStyle w:val="ListParagraph"/>
              <w:ind w:left="720"/>
              <w:rPr>
                <w:rFonts w:asciiTheme="minorHAnsi" w:eastAsiaTheme="minorHAnsi" w:hAnsiTheme="minorHAnsi" w:cstheme="minorHAnsi"/>
                <w:lang w:bidi="ar-SA"/>
              </w:rPr>
            </w:pPr>
          </w:p>
        </w:tc>
        <w:tc>
          <w:tcPr>
            <w:tcW w:w="6750" w:type="dxa"/>
          </w:tcPr>
          <w:p w14:paraId="10CCE70D" w14:textId="77777777" w:rsidR="00C551D8" w:rsidRPr="00BB0DCB" w:rsidRDefault="00C551D8" w:rsidP="00E726FC">
            <w:pPr>
              <w:rPr>
                <w:rFonts w:asciiTheme="minorHAnsi" w:hAnsiTheme="minorHAnsi" w:cstheme="minorHAnsi"/>
                <w:szCs w:val="24"/>
              </w:rPr>
            </w:pPr>
          </w:p>
          <w:p w14:paraId="4EF8F39B" w14:textId="244CA131" w:rsidR="00C551D8" w:rsidRDefault="00C551D8" w:rsidP="00E726FC">
            <w:pPr>
              <w:rPr>
                <w:rFonts w:asciiTheme="minorHAnsi" w:hAnsiTheme="minorHAnsi" w:cstheme="minorHAnsi"/>
                <w:szCs w:val="24"/>
              </w:rPr>
            </w:pPr>
            <w:r w:rsidRPr="00BB0DCB">
              <w:rPr>
                <w:rFonts w:asciiTheme="minorHAnsi" w:hAnsiTheme="minorHAnsi" w:cstheme="minorHAnsi"/>
                <w:szCs w:val="24"/>
              </w:rPr>
              <w:t>Dean Carranza</w:t>
            </w:r>
          </w:p>
          <w:p w14:paraId="2AD08907" w14:textId="6E01C889" w:rsidR="00C551D8" w:rsidRPr="00C551D8" w:rsidRDefault="00C551D8" w:rsidP="00E726FC">
            <w:pPr>
              <w:rPr>
                <w:rFonts w:asciiTheme="minorHAnsi" w:hAnsiTheme="minorHAnsi" w:cstheme="minorHAnsi"/>
                <w:i/>
                <w:szCs w:val="24"/>
              </w:rPr>
            </w:pPr>
            <w:r w:rsidRPr="00C551D8">
              <w:rPr>
                <w:rFonts w:asciiTheme="minorHAnsi" w:hAnsiTheme="minorHAnsi" w:cstheme="minorHAnsi"/>
                <w:i/>
                <w:szCs w:val="24"/>
              </w:rPr>
              <w:t>State Chancellor’s Office is coming to visit CWA next week to learn more about it</w:t>
            </w:r>
            <w:r>
              <w:rPr>
                <w:rFonts w:asciiTheme="minorHAnsi" w:hAnsiTheme="minorHAnsi" w:cstheme="minorHAnsi"/>
                <w:i/>
                <w:szCs w:val="24"/>
              </w:rPr>
              <w:t>.  JC and DR still planning to meet with CWA re scheduling changes</w:t>
            </w:r>
          </w:p>
          <w:p w14:paraId="47B7B25C" w14:textId="557727CE" w:rsidR="00C551D8" w:rsidRDefault="00C551D8" w:rsidP="00E726FC">
            <w:pPr>
              <w:rPr>
                <w:rFonts w:asciiTheme="minorHAnsi" w:hAnsiTheme="minorHAnsi" w:cstheme="minorHAnsi"/>
                <w:szCs w:val="24"/>
              </w:rPr>
            </w:pPr>
            <w:r w:rsidRPr="00BB0DCB">
              <w:rPr>
                <w:rFonts w:asciiTheme="minorHAnsi" w:hAnsiTheme="minorHAnsi" w:cstheme="minorHAnsi"/>
                <w:szCs w:val="24"/>
              </w:rPr>
              <w:t>VPI Tammy Robinson</w:t>
            </w:r>
          </w:p>
          <w:p w14:paraId="573EE360" w14:textId="4B995065" w:rsidR="00C551D8" w:rsidRPr="00BB0DCB" w:rsidRDefault="00C551D8" w:rsidP="00E726FC">
            <w:pPr>
              <w:rPr>
                <w:rFonts w:asciiTheme="minorHAnsi" w:hAnsiTheme="minorHAnsi" w:cstheme="minorHAnsi"/>
                <w:szCs w:val="24"/>
              </w:rPr>
            </w:pPr>
            <w:r>
              <w:rPr>
                <w:rFonts w:asciiTheme="minorHAnsi" w:hAnsiTheme="minorHAnsi" w:cstheme="minorHAnsi"/>
                <w:i/>
                <w:szCs w:val="24"/>
              </w:rPr>
              <w:t>Waiting to hear from SUHSD Board approval for position.  Also looking for the funding</w:t>
            </w:r>
          </w:p>
          <w:p w14:paraId="6D425E1E" w14:textId="53AE1572" w:rsidR="00C551D8" w:rsidRDefault="00C551D8" w:rsidP="00E726FC">
            <w:pPr>
              <w:rPr>
                <w:rFonts w:asciiTheme="minorHAnsi" w:hAnsiTheme="minorHAnsi" w:cstheme="minorHAnsi"/>
                <w:szCs w:val="24"/>
              </w:rPr>
            </w:pPr>
            <w:r w:rsidRPr="00BB0DCB">
              <w:rPr>
                <w:rFonts w:asciiTheme="minorHAnsi" w:hAnsiTheme="minorHAnsi" w:cstheme="minorHAnsi"/>
                <w:szCs w:val="24"/>
              </w:rPr>
              <w:t>Dean Hartman</w:t>
            </w:r>
          </w:p>
          <w:p w14:paraId="58799FB0" w14:textId="4CFC0BD3" w:rsidR="00C551D8" w:rsidRPr="00BB0DCB" w:rsidRDefault="00C551D8" w:rsidP="00E726FC">
            <w:pPr>
              <w:rPr>
                <w:rFonts w:asciiTheme="minorHAnsi" w:hAnsiTheme="minorHAnsi" w:cstheme="minorHAnsi"/>
                <w:szCs w:val="24"/>
              </w:rPr>
            </w:pPr>
            <w:r>
              <w:rPr>
                <w:rFonts w:asciiTheme="minorHAnsi" w:hAnsiTheme="minorHAnsi" w:cstheme="minorHAnsi"/>
                <w:i/>
                <w:szCs w:val="24"/>
              </w:rPr>
              <w:t>Important name change:  “engagement”</w:t>
            </w:r>
          </w:p>
          <w:p w14:paraId="0AA94CB1" w14:textId="7AFC9DB2" w:rsidR="00C551D8" w:rsidRPr="00BB0DCB" w:rsidRDefault="00C551D8" w:rsidP="00E726FC">
            <w:pPr>
              <w:rPr>
                <w:rFonts w:asciiTheme="minorHAnsi" w:hAnsiTheme="minorHAnsi" w:cstheme="minorHAnsi"/>
                <w:szCs w:val="24"/>
              </w:rPr>
            </w:pPr>
          </w:p>
        </w:tc>
      </w:tr>
      <w:tr w:rsidR="00C551D8" w:rsidRPr="002A05D8" w14:paraId="5B182915" w14:textId="77777777" w:rsidTr="00C551D8">
        <w:tc>
          <w:tcPr>
            <w:tcW w:w="3505" w:type="dxa"/>
          </w:tcPr>
          <w:p w14:paraId="0A5A335E" w14:textId="1B5D60CF" w:rsidR="00C551D8" w:rsidRPr="008304E4" w:rsidRDefault="00C551D8" w:rsidP="00BF2529">
            <w:pPr>
              <w:rPr>
                <w:rFonts w:asciiTheme="minorHAnsi" w:hAnsiTheme="minorHAnsi" w:cstheme="minorHAnsi"/>
                <w:b/>
                <w:szCs w:val="24"/>
              </w:rPr>
            </w:pPr>
            <w:r w:rsidRPr="008304E4">
              <w:rPr>
                <w:rFonts w:asciiTheme="minorHAnsi" w:hAnsiTheme="minorHAnsi" w:cstheme="minorHAnsi"/>
                <w:b/>
                <w:szCs w:val="24"/>
              </w:rPr>
              <w:t>Distance Education</w:t>
            </w:r>
          </w:p>
          <w:p w14:paraId="0DA6C91B"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Enrollment in Distance Education</w:t>
            </w:r>
          </w:p>
          <w:p w14:paraId="527DCBC7"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Distance Education course success rates</w:t>
            </w:r>
          </w:p>
          <w:p w14:paraId="3EFF6942"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Characteristics of Online Students</w:t>
            </w:r>
          </w:p>
          <w:p w14:paraId="6775EC41"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How do we determine what to offer online?</w:t>
            </w:r>
          </w:p>
          <w:p w14:paraId="31F56D4E"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How will the new, online (115</w:t>
            </w:r>
            <w:r w:rsidRPr="008304E4">
              <w:rPr>
                <w:rFonts w:asciiTheme="minorHAnsi" w:hAnsiTheme="minorHAnsi" w:cstheme="minorHAnsi"/>
                <w:szCs w:val="24"/>
                <w:vertAlign w:val="superscript"/>
              </w:rPr>
              <w:t>th</w:t>
            </w:r>
            <w:r w:rsidRPr="008304E4">
              <w:rPr>
                <w:rFonts w:asciiTheme="minorHAnsi" w:hAnsiTheme="minorHAnsi" w:cstheme="minorHAnsi"/>
                <w:szCs w:val="24"/>
              </w:rPr>
              <w:t>) college impact Canada?</w:t>
            </w:r>
          </w:p>
          <w:p w14:paraId="2F6F0E32"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Strategic thinking:  what are our values?  How do they impact our decisions when it comes to online education?</w:t>
            </w:r>
          </w:p>
          <w:p w14:paraId="52806B3B"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Opportunities for growth and improvement</w:t>
            </w:r>
          </w:p>
          <w:p w14:paraId="239E92D2" w14:textId="77777777" w:rsidR="00C551D8" w:rsidRPr="008304E4" w:rsidRDefault="00C551D8" w:rsidP="00280566">
            <w:pPr>
              <w:pStyle w:val="ListParagraph"/>
              <w:numPr>
                <w:ilvl w:val="0"/>
                <w:numId w:val="9"/>
              </w:numPr>
              <w:rPr>
                <w:rFonts w:asciiTheme="minorHAnsi" w:hAnsiTheme="minorHAnsi" w:cstheme="minorHAnsi"/>
                <w:szCs w:val="24"/>
              </w:rPr>
            </w:pPr>
            <w:r w:rsidRPr="008304E4">
              <w:rPr>
                <w:rFonts w:asciiTheme="minorHAnsi" w:hAnsiTheme="minorHAnsi" w:cstheme="minorHAnsi"/>
                <w:szCs w:val="24"/>
              </w:rPr>
              <w:t>Marketing</w:t>
            </w:r>
          </w:p>
          <w:p w14:paraId="4FE3A331" w14:textId="48D40F42" w:rsidR="00C551D8" w:rsidRPr="008304E4" w:rsidRDefault="00C551D8" w:rsidP="00280566">
            <w:pPr>
              <w:pStyle w:val="ListParagraph"/>
              <w:ind w:left="720"/>
              <w:rPr>
                <w:rFonts w:asciiTheme="minorHAnsi" w:hAnsiTheme="minorHAnsi" w:cstheme="minorHAnsi"/>
                <w:szCs w:val="24"/>
              </w:rPr>
            </w:pPr>
          </w:p>
        </w:tc>
        <w:tc>
          <w:tcPr>
            <w:tcW w:w="6750" w:type="dxa"/>
          </w:tcPr>
          <w:p w14:paraId="3E7E3804" w14:textId="77777777" w:rsidR="008304E4" w:rsidRDefault="008304E4" w:rsidP="00BB0DCB">
            <w:pPr>
              <w:rPr>
                <w:rFonts w:asciiTheme="minorHAnsi" w:hAnsiTheme="minorHAnsi" w:cstheme="minorHAnsi"/>
                <w:i/>
                <w:szCs w:val="24"/>
              </w:rPr>
            </w:pPr>
            <w:r>
              <w:rPr>
                <w:rFonts w:asciiTheme="minorHAnsi" w:hAnsiTheme="minorHAnsi" w:cstheme="minorHAnsi"/>
                <w:i/>
                <w:szCs w:val="24"/>
              </w:rPr>
              <w:t>SEE SLIDES – LW went through them</w:t>
            </w:r>
          </w:p>
          <w:p w14:paraId="3490390F" w14:textId="22194524" w:rsidR="00C551D8" w:rsidRPr="008304E4" w:rsidRDefault="00C551D8" w:rsidP="00BB0DCB">
            <w:pPr>
              <w:rPr>
                <w:rFonts w:asciiTheme="minorHAnsi" w:hAnsiTheme="minorHAnsi" w:cstheme="minorHAnsi"/>
                <w:i/>
                <w:szCs w:val="24"/>
              </w:rPr>
            </w:pPr>
            <w:r w:rsidRPr="008304E4">
              <w:rPr>
                <w:rFonts w:asciiTheme="minorHAnsi" w:hAnsiTheme="minorHAnsi" w:cstheme="minorHAnsi"/>
                <w:i/>
                <w:szCs w:val="24"/>
              </w:rPr>
              <w:t>Note:  average # of units taken going down!</w:t>
            </w:r>
          </w:p>
          <w:p w14:paraId="39E0ECBE" w14:textId="108AE26D" w:rsidR="00C551D8" w:rsidRPr="008304E4" w:rsidRDefault="00C551D8" w:rsidP="00BB0DCB">
            <w:pPr>
              <w:rPr>
                <w:rFonts w:asciiTheme="minorHAnsi" w:hAnsiTheme="minorHAnsi" w:cstheme="minorHAnsi"/>
                <w:i/>
                <w:szCs w:val="24"/>
              </w:rPr>
            </w:pPr>
            <w:r w:rsidRPr="008304E4">
              <w:rPr>
                <w:rFonts w:asciiTheme="minorHAnsi" w:hAnsiTheme="minorHAnsi" w:cstheme="minorHAnsi"/>
                <w:i/>
                <w:szCs w:val="24"/>
              </w:rPr>
              <w:t>JC:  are other campuses seeing these unit decline trends?  Does it correspond to our going to 4-days a week?  We did that in 2008.  Let’s look longer term.</w:t>
            </w:r>
          </w:p>
          <w:p w14:paraId="3B1D3462" w14:textId="7C5E6A9A" w:rsidR="00C551D8" w:rsidRPr="008304E4" w:rsidRDefault="00C551D8" w:rsidP="00BB0DCB">
            <w:pPr>
              <w:rPr>
                <w:rFonts w:asciiTheme="minorHAnsi" w:hAnsiTheme="minorHAnsi" w:cstheme="minorHAnsi"/>
                <w:i/>
                <w:szCs w:val="24"/>
              </w:rPr>
            </w:pPr>
            <w:r w:rsidRPr="008304E4">
              <w:rPr>
                <w:rFonts w:asciiTheme="minorHAnsi" w:hAnsiTheme="minorHAnsi" w:cstheme="minorHAnsi"/>
                <w:i/>
                <w:szCs w:val="24"/>
              </w:rPr>
              <w:t>HL:  Fridays are a ghost town and we don’t have services during that time either.</w:t>
            </w:r>
          </w:p>
          <w:p w14:paraId="4D2C84B0" w14:textId="1137AF7A" w:rsidR="00C551D8" w:rsidRPr="008304E4" w:rsidRDefault="00C551D8" w:rsidP="00BB0DCB">
            <w:pPr>
              <w:rPr>
                <w:rFonts w:asciiTheme="minorHAnsi" w:hAnsiTheme="minorHAnsi" w:cstheme="minorHAnsi"/>
                <w:i/>
                <w:szCs w:val="24"/>
              </w:rPr>
            </w:pPr>
            <w:r w:rsidRPr="008304E4">
              <w:rPr>
                <w:rFonts w:asciiTheme="minorHAnsi" w:hAnsiTheme="minorHAnsi" w:cstheme="minorHAnsi"/>
                <w:i/>
                <w:szCs w:val="24"/>
              </w:rPr>
              <w:t>LW:  Success rates in TTh classes were better than MWF.  We could look at making Friday (or Sat) Hybrid meeting days.</w:t>
            </w:r>
          </w:p>
          <w:p w14:paraId="205386EE" w14:textId="0B37C54D" w:rsidR="00C551D8" w:rsidRDefault="00C551D8" w:rsidP="00BB0DCB">
            <w:pPr>
              <w:rPr>
                <w:rFonts w:asciiTheme="minorHAnsi" w:hAnsiTheme="minorHAnsi" w:cstheme="minorHAnsi"/>
                <w:i/>
                <w:szCs w:val="24"/>
              </w:rPr>
            </w:pPr>
            <w:r w:rsidRPr="008304E4">
              <w:rPr>
                <w:rFonts w:asciiTheme="minorHAnsi" w:hAnsiTheme="minorHAnsi" w:cstheme="minorHAnsi"/>
                <w:i/>
                <w:szCs w:val="24"/>
              </w:rPr>
              <w:t>LW:  In 2015/16 the definition of Hybrid</w:t>
            </w:r>
          </w:p>
          <w:p w14:paraId="7598D843" w14:textId="10EB1582" w:rsidR="008304E4" w:rsidRDefault="008304E4" w:rsidP="00BB0DCB">
            <w:pPr>
              <w:rPr>
                <w:rFonts w:asciiTheme="minorHAnsi" w:hAnsiTheme="minorHAnsi" w:cstheme="minorHAnsi"/>
                <w:i/>
                <w:szCs w:val="24"/>
              </w:rPr>
            </w:pPr>
          </w:p>
          <w:p w14:paraId="25A4DF84" w14:textId="4DF1B691" w:rsidR="001E2A07" w:rsidRDefault="001E2A07" w:rsidP="00BB0DCB">
            <w:pPr>
              <w:rPr>
                <w:rFonts w:asciiTheme="minorHAnsi" w:hAnsiTheme="minorHAnsi" w:cstheme="minorHAnsi"/>
                <w:i/>
                <w:szCs w:val="24"/>
              </w:rPr>
            </w:pPr>
            <w:r>
              <w:rPr>
                <w:rFonts w:asciiTheme="minorHAnsi" w:hAnsiTheme="minorHAnsi" w:cstheme="minorHAnsi"/>
                <w:i/>
                <w:szCs w:val="24"/>
              </w:rPr>
              <w:t>LW:  see slides with all the strategic factors depts. and deans consider when choosing to put a course online</w:t>
            </w:r>
          </w:p>
          <w:p w14:paraId="4CF5B73C" w14:textId="77777777" w:rsidR="001E2A07" w:rsidRDefault="001E2A07" w:rsidP="00BB0DCB">
            <w:pPr>
              <w:rPr>
                <w:rFonts w:asciiTheme="minorHAnsi" w:hAnsiTheme="minorHAnsi" w:cstheme="minorHAnsi"/>
                <w:i/>
                <w:szCs w:val="24"/>
              </w:rPr>
            </w:pPr>
          </w:p>
          <w:p w14:paraId="7D1A59AB" w14:textId="54609886" w:rsidR="008304E4" w:rsidRDefault="008304E4" w:rsidP="00BB0DCB">
            <w:pPr>
              <w:rPr>
                <w:rFonts w:asciiTheme="minorHAnsi" w:hAnsiTheme="minorHAnsi" w:cstheme="minorHAnsi"/>
                <w:i/>
                <w:color w:val="FF0000"/>
                <w:szCs w:val="24"/>
              </w:rPr>
            </w:pPr>
            <w:r>
              <w:rPr>
                <w:rFonts w:asciiTheme="minorHAnsi" w:hAnsiTheme="minorHAnsi" w:cstheme="minorHAnsi"/>
                <w:i/>
                <w:szCs w:val="24"/>
              </w:rPr>
              <w:t>TR: “</w:t>
            </w:r>
            <w:r w:rsidRPr="008304E4">
              <w:rPr>
                <w:rFonts w:asciiTheme="minorHAnsi" w:hAnsiTheme="minorHAnsi" w:cstheme="minorHAnsi"/>
                <w:i/>
                <w:color w:val="FF0000"/>
                <w:szCs w:val="24"/>
              </w:rPr>
              <w:t>We don’t want to be an online college”</w:t>
            </w:r>
            <w:r w:rsidR="00252553">
              <w:rPr>
                <w:rFonts w:asciiTheme="minorHAnsi" w:hAnsiTheme="minorHAnsi" w:cstheme="minorHAnsi"/>
                <w:i/>
                <w:color w:val="FF0000"/>
                <w:szCs w:val="24"/>
              </w:rPr>
              <w:t xml:space="preserve"> – ensure students have options</w:t>
            </w:r>
          </w:p>
          <w:p w14:paraId="18C8380E" w14:textId="77777777" w:rsidR="00252553" w:rsidRPr="008304E4" w:rsidRDefault="00252553" w:rsidP="00BB0DCB">
            <w:pPr>
              <w:rPr>
                <w:rFonts w:asciiTheme="minorHAnsi" w:hAnsiTheme="minorHAnsi" w:cstheme="minorHAnsi"/>
                <w:i/>
                <w:color w:val="FF0000"/>
                <w:szCs w:val="24"/>
              </w:rPr>
            </w:pPr>
          </w:p>
          <w:p w14:paraId="05C017B5" w14:textId="24F9A54C" w:rsidR="008304E4" w:rsidRDefault="008304E4" w:rsidP="00BB0DCB">
            <w:pPr>
              <w:rPr>
                <w:rFonts w:asciiTheme="minorHAnsi" w:hAnsiTheme="minorHAnsi" w:cstheme="minorHAnsi"/>
                <w:i/>
                <w:szCs w:val="24"/>
              </w:rPr>
            </w:pPr>
            <w:r>
              <w:rPr>
                <w:rFonts w:asciiTheme="minorHAnsi" w:hAnsiTheme="minorHAnsi" w:cstheme="minorHAnsi"/>
                <w:i/>
                <w:szCs w:val="24"/>
              </w:rPr>
              <w:t>AW:  fully online doesn’t work with the physical sciences(?) But think about the student population.  For working adults – online or hybrid offerings….But for more traditional courses – want to protect the F2F.  Sometimes when we put something online – we do see “cannibalization”.  Managing this is hard.  AW working with faculty to try to pare down some online courses and bring some students back to F2F.  Eg., Geography and Earth Sciences – this happened.</w:t>
            </w:r>
          </w:p>
          <w:p w14:paraId="2D0870C0" w14:textId="6A8D3943" w:rsidR="008304E4" w:rsidRDefault="008304E4" w:rsidP="00BB0DCB">
            <w:pPr>
              <w:rPr>
                <w:rFonts w:asciiTheme="minorHAnsi" w:hAnsiTheme="minorHAnsi" w:cstheme="minorHAnsi"/>
                <w:i/>
                <w:szCs w:val="24"/>
              </w:rPr>
            </w:pPr>
          </w:p>
          <w:p w14:paraId="46DABD38" w14:textId="726ACBF3" w:rsidR="008304E4" w:rsidRDefault="008304E4" w:rsidP="00BB0DCB">
            <w:pPr>
              <w:rPr>
                <w:rFonts w:asciiTheme="minorHAnsi" w:hAnsiTheme="minorHAnsi" w:cstheme="minorHAnsi"/>
                <w:i/>
                <w:color w:val="FF0000"/>
                <w:szCs w:val="24"/>
              </w:rPr>
            </w:pPr>
            <w:r w:rsidRPr="008304E4">
              <w:rPr>
                <w:rFonts w:asciiTheme="minorHAnsi" w:hAnsiTheme="minorHAnsi" w:cstheme="minorHAnsi"/>
                <w:i/>
                <w:color w:val="FF0000"/>
                <w:szCs w:val="24"/>
              </w:rPr>
              <w:t>“</w:t>
            </w:r>
            <w:r w:rsidR="00E275BF">
              <w:rPr>
                <w:rFonts w:asciiTheme="minorHAnsi" w:hAnsiTheme="minorHAnsi" w:cstheme="minorHAnsi"/>
                <w:i/>
                <w:color w:val="FF0000"/>
                <w:szCs w:val="24"/>
              </w:rPr>
              <w:t xml:space="preserve">Make scheduling </w:t>
            </w:r>
            <w:r w:rsidR="009E0689">
              <w:rPr>
                <w:rFonts w:asciiTheme="minorHAnsi" w:hAnsiTheme="minorHAnsi" w:cstheme="minorHAnsi"/>
                <w:i/>
                <w:color w:val="FF0000"/>
                <w:szCs w:val="24"/>
              </w:rPr>
              <w:t xml:space="preserve">decisions </w:t>
            </w:r>
            <w:r w:rsidR="00E275BF">
              <w:rPr>
                <w:rFonts w:asciiTheme="minorHAnsi" w:hAnsiTheme="minorHAnsi" w:cstheme="minorHAnsi"/>
                <w:i/>
                <w:color w:val="FF0000"/>
                <w:szCs w:val="24"/>
              </w:rPr>
              <w:t xml:space="preserve">and </w:t>
            </w:r>
            <w:r w:rsidR="009E0689">
              <w:rPr>
                <w:rFonts w:asciiTheme="minorHAnsi" w:hAnsiTheme="minorHAnsi" w:cstheme="minorHAnsi"/>
                <w:i/>
                <w:color w:val="FF0000"/>
                <w:szCs w:val="24"/>
              </w:rPr>
              <w:t xml:space="preserve">whether to offer a course </w:t>
            </w:r>
            <w:r w:rsidR="00E275BF">
              <w:rPr>
                <w:rFonts w:asciiTheme="minorHAnsi" w:hAnsiTheme="minorHAnsi" w:cstheme="minorHAnsi"/>
                <w:i/>
                <w:color w:val="FF0000"/>
                <w:szCs w:val="24"/>
              </w:rPr>
              <w:t>online with</w:t>
            </w:r>
            <w:r w:rsidRPr="008304E4">
              <w:rPr>
                <w:rFonts w:asciiTheme="minorHAnsi" w:hAnsiTheme="minorHAnsi" w:cstheme="minorHAnsi"/>
                <w:i/>
                <w:color w:val="FF0000"/>
                <w:szCs w:val="24"/>
              </w:rPr>
              <w:t xml:space="preserve"> student needs in mind</w:t>
            </w:r>
            <w:r w:rsidR="00E275BF">
              <w:rPr>
                <w:rFonts w:asciiTheme="minorHAnsi" w:hAnsiTheme="minorHAnsi" w:cstheme="minorHAnsi"/>
                <w:i/>
                <w:color w:val="FF0000"/>
                <w:szCs w:val="24"/>
              </w:rPr>
              <w:t xml:space="preserve"> (especially different types of students)</w:t>
            </w:r>
            <w:r w:rsidR="009E3C12">
              <w:rPr>
                <w:rFonts w:asciiTheme="minorHAnsi" w:hAnsiTheme="minorHAnsi" w:cstheme="minorHAnsi"/>
                <w:i/>
                <w:color w:val="FF0000"/>
                <w:szCs w:val="24"/>
              </w:rPr>
              <w:t xml:space="preserve"> and related data as well as </w:t>
            </w:r>
            <w:r w:rsidR="009E3C12">
              <w:rPr>
                <w:rFonts w:asciiTheme="minorHAnsi" w:hAnsiTheme="minorHAnsi" w:cstheme="minorHAnsi"/>
                <w:i/>
                <w:color w:val="FF0000"/>
                <w:szCs w:val="24"/>
              </w:rPr>
              <w:t>subject matter</w:t>
            </w:r>
            <w:r w:rsidR="009E3C12">
              <w:rPr>
                <w:rFonts w:asciiTheme="minorHAnsi" w:hAnsiTheme="minorHAnsi" w:cstheme="minorHAnsi"/>
                <w:i/>
                <w:color w:val="FF0000"/>
                <w:szCs w:val="24"/>
              </w:rPr>
              <w:t xml:space="preserve"> (for example, sewing?</w:t>
            </w:r>
            <w:r w:rsidRPr="008304E4">
              <w:rPr>
                <w:rFonts w:asciiTheme="minorHAnsi" w:hAnsiTheme="minorHAnsi" w:cstheme="minorHAnsi"/>
                <w:i/>
                <w:color w:val="FF0000"/>
                <w:szCs w:val="24"/>
              </w:rPr>
              <w:t>”</w:t>
            </w:r>
          </w:p>
          <w:p w14:paraId="01464DD6" w14:textId="71E0CD80" w:rsidR="004D6EFA" w:rsidRDefault="00E275BF" w:rsidP="00BB0DCB">
            <w:pPr>
              <w:rPr>
                <w:rFonts w:asciiTheme="minorHAnsi" w:hAnsiTheme="minorHAnsi" w:cstheme="minorHAnsi"/>
                <w:i/>
                <w:szCs w:val="24"/>
              </w:rPr>
            </w:pPr>
            <w:r>
              <w:rPr>
                <w:rFonts w:asciiTheme="minorHAnsi" w:hAnsiTheme="minorHAnsi" w:cstheme="minorHAnsi"/>
                <w:i/>
                <w:szCs w:val="24"/>
              </w:rPr>
              <w:t xml:space="preserve">JC:  Dept meetings.  They discuss moving things to different time slots, online.  Collaborative discussions with depts..  </w:t>
            </w:r>
          </w:p>
          <w:p w14:paraId="58388D2D" w14:textId="7B71243A" w:rsidR="00E275BF" w:rsidRDefault="00E275BF" w:rsidP="00BB0DCB">
            <w:pPr>
              <w:rPr>
                <w:rFonts w:asciiTheme="minorHAnsi" w:hAnsiTheme="minorHAnsi" w:cstheme="minorHAnsi"/>
                <w:i/>
                <w:szCs w:val="24"/>
              </w:rPr>
            </w:pPr>
          </w:p>
          <w:p w14:paraId="3E87B922" w14:textId="45114495" w:rsidR="00E275BF" w:rsidRDefault="00E275BF" w:rsidP="00BB0DCB">
            <w:pPr>
              <w:rPr>
                <w:rFonts w:asciiTheme="minorHAnsi" w:hAnsiTheme="minorHAnsi" w:cstheme="minorHAnsi"/>
                <w:i/>
                <w:color w:val="FF0000"/>
                <w:szCs w:val="24"/>
              </w:rPr>
            </w:pPr>
            <w:r>
              <w:rPr>
                <w:rFonts w:asciiTheme="minorHAnsi" w:hAnsiTheme="minorHAnsi" w:cstheme="minorHAnsi"/>
                <w:i/>
                <w:szCs w:val="24"/>
              </w:rPr>
              <w:t xml:space="preserve">Value:  </w:t>
            </w:r>
            <w:r w:rsidRPr="00E275BF">
              <w:rPr>
                <w:rFonts w:asciiTheme="minorHAnsi" w:hAnsiTheme="minorHAnsi" w:cstheme="minorHAnsi"/>
                <w:i/>
                <w:color w:val="FF0000"/>
                <w:szCs w:val="24"/>
              </w:rPr>
              <w:t xml:space="preserve">“Always preserve F2F options </w:t>
            </w:r>
            <w:r w:rsidR="00F53FF2">
              <w:rPr>
                <w:rFonts w:asciiTheme="minorHAnsi" w:hAnsiTheme="minorHAnsi" w:cstheme="minorHAnsi"/>
                <w:i/>
                <w:color w:val="FF0000"/>
                <w:szCs w:val="24"/>
              </w:rPr>
              <w:t>as much as possible</w:t>
            </w:r>
            <w:r w:rsidRPr="00E275BF">
              <w:rPr>
                <w:rFonts w:asciiTheme="minorHAnsi" w:hAnsiTheme="minorHAnsi" w:cstheme="minorHAnsi"/>
                <w:i/>
                <w:color w:val="FF0000"/>
                <w:szCs w:val="24"/>
              </w:rPr>
              <w:t>”</w:t>
            </w:r>
          </w:p>
          <w:p w14:paraId="41966C79" w14:textId="2D4BE805" w:rsidR="00E42FDB" w:rsidRDefault="00E42FDB" w:rsidP="00BB0DCB">
            <w:pPr>
              <w:rPr>
                <w:rFonts w:asciiTheme="minorHAnsi" w:hAnsiTheme="minorHAnsi" w:cstheme="minorHAnsi"/>
                <w:i/>
                <w:color w:val="FF0000"/>
                <w:szCs w:val="24"/>
              </w:rPr>
            </w:pPr>
          </w:p>
          <w:p w14:paraId="5410E434" w14:textId="5FC3523C" w:rsidR="00E42FDB" w:rsidRDefault="00E42FDB" w:rsidP="00BB0DCB">
            <w:pPr>
              <w:rPr>
                <w:rFonts w:asciiTheme="minorHAnsi" w:hAnsiTheme="minorHAnsi" w:cstheme="minorHAnsi"/>
                <w:i/>
                <w:color w:val="00B050"/>
                <w:szCs w:val="24"/>
              </w:rPr>
            </w:pPr>
            <w:r>
              <w:rPr>
                <w:rFonts w:asciiTheme="minorHAnsi" w:hAnsiTheme="minorHAnsi" w:cstheme="minorHAnsi"/>
                <w:i/>
                <w:szCs w:val="24"/>
              </w:rPr>
              <w:t>WEB SMART/enrollment:  It doesn’t tell people WHY they are blocked from registering for a class.  It just blocks them</w:t>
            </w:r>
            <w:r w:rsidRPr="00913796">
              <w:rPr>
                <w:rFonts w:asciiTheme="minorHAnsi" w:hAnsiTheme="minorHAnsi" w:cstheme="minorHAnsi"/>
                <w:i/>
                <w:color w:val="00B050"/>
                <w:szCs w:val="24"/>
              </w:rPr>
              <w:t>. (KE FOLLOW UP ON THIS WITH EDGAR)</w:t>
            </w:r>
          </w:p>
          <w:p w14:paraId="6336B27E" w14:textId="37F13968" w:rsidR="00BF390D" w:rsidRDefault="00BF390D" w:rsidP="00BB0DCB">
            <w:pPr>
              <w:rPr>
                <w:rFonts w:asciiTheme="minorHAnsi" w:hAnsiTheme="minorHAnsi" w:cstheme="minorHAnsi"/>
                <w:i/>
                <w:color w:val="00B050"/>
                <w:szCs w:val="24"/>
              </w:rPr>
            </w:pPr>
          </w:p>
          <w:p w14:paraId="6452EAEA" w14:textId="77777777" w:rsidR="00BF390D" w:rsidRDefault="00BF390D" w:rsidP="00BB0DCB">
            <w:pPr>
              <w:rPr>
                <w:rFonts w:asciiTheme="minorHAnsi" w:hAnsiTheme="minorHAnsi" w:cstheme="minorHAnsi"/>
                <w:i/>
                <w:color w:val="00B050"/>
                <w:szCs w:val="24"/>
              </w:rPr>
            </w:pPr>
            <w:r>
              <w:rPr>
                <w:rFonts w:asciiTheme="minorHAnsi" w:hAnsiTheme="minorHAnsi" w:cstheme="minorHAnsi"/>
                <w:i/>
                <w:color w:val="00B050"/>
                <w:szCs w:val="24"/>
              </w:rPr>
              <w:t>Leonor/David McClain – how to put things like Bus Online Academy on Web Schedule</w:t>
            </w:r>
          </w:p>
          <w:p w14:paraId="2AE7EA19" w14:textId="77777777" w:rsidR="00BF390D" w:rsidRDefault="00BF390D" w:rsidP="00BB0DCB">
            <w:pPr>
              <w:rPr>
                <w:rFonts w:asciiTheme="minorHAnsi" w:hAnsiTheme="minorHAnsi" w:cstheme="minorHAnsi"/>
                <w:i/>
                <w:color w:val="00B050"/>
                <w:szCs w:val="24"/>
              </w:rPr>
            </w:pPr>
          </w:p>
          <w:p w14:paraId="3C3423CC" w14:textId="74210E34" w:rsidR="00BF390D" w:rsidRPr="00913796" w:rsidRDefault="00BF390D" w:rsidP="00BB0DCB">
            <w:pPr>
              <w:rPr>
                <w:rFonts w:asciiTheme="minorHAnsi" w:hAnsiTheme="minorHAnsi" w:cstheme="minorHAnsi"/>
                <w:i/>
                <w:color w:val="00B050"/>
                <w:szCs w:val="24"/>
              </w:rPr>
            </w:pPr>
            <w:r>
              <w:rPr>
                <w:rFonts w:asciiTheme="minorHAnsi" w:hAnsiTheme="minorHAnsi" w:cstheme="minorHAnsi"/>
                <w:i/>
                <w:color w:val="00B050"/>
                <w:szCs w:val="24"/>
              </w:rPr>
              <w:t xml:space="preserve">In fact – can we be much clearer about what our online degrees are and how quickly one can do them….NEEDS TO BE CLEAR ONLINE </w:t>
            </w:r>
          </w:p>
          <w:p w14:paraId="7719DFD1" w14:textId="3509C2EF" w:rsidR="00913796" w:rsidRDefault="00913796" w:rsidP="00BB0DCB">
            <w:pPr>
              <w:rPr>
                <w:rFonts w:asciiTheme="minorHAnsi" w:hAnsiTheme="minorHAnsi" w:cstheme="minorHAnsi"/>
                <w:i/>
                <w:color w:val="943634" w:themeColor="accent2" w:themeShade="BF"/>
                <w:szCs w:val="24"/>
              </w:rPr>
            </w:pPr>
          </w:p>
          <w:p w14:paraId="22973592" w14:textId="32A146F8" w:rsidR="00252553" w:rsidRDefault="00252553" w:rsidP="00BB0DCB">
            <w:pPr>
              <w:rPr>
                <w:rFonts w:asciiTheme="minorHAnsi" w:hAnsiTheme="minorHAnsi" w:cstheme="minorHAnsi"/>
                <w:i/>
                <w:szCs w:val="24"/>
              </w:rPr>
            </w:pPr>
            <w:r>
              <w:rPr>
                <w:rFonts w:asciiTheme="minorHAnsi" w:hAnsiTheme="minorHAnsi" w:cstheme="minorHAnsi"/>
                <w:i/>
                <w:szCs w:val="24"/>
              </w:rPr>
              <w:t>LC: CTE is different.  They had two programs almost die (Human Services and Paralegal) which now have new life since they’ve been moved 100% online</w:t>
            </w:r>
            <w:bookmarkStart w:id="0" w:name="_GoBack"/>
            <w:bookmarkEnd w:id="0"/>
          </w:p>
          <w:p w14:paraId="719E36CD" w14:textId="77777777" w:rsidR="00252553" w:rsidRDefault="00252553" w:rsidP="00BB0DCB">
            <w:pPr>
              <w:rPr>
                <w:rFonts w:asciiTheme="minorHAnsi" w:hAnsiTheme="minorHAnsi" w:cstheme="minorHAnsi"/>
                <w:i/>
                <w:szCs w:val="24"/>
              </w:rPr>
            </w:pPr>
          </w:p>
          <w:p w14:paraId="52882D81" w14:textId="1DEEEA46" w:rsidR="00913796" w:rsidRDefault="00913796" w:rsidP="00BB0DCB">
            <w:pPr>
              <w:rPr>
                <w:rFonts w:asciiTheme="minorHAnsi" w:hAnsiTheme="minorHAnsi" w:cstheme="minorHAnsi"/>
                <w:i/>
                <w:szCs w:val="24"/>
              </w:rPr>
            </w:pPr>
            <w:r>
              <w:rPr>
                <w:rFonts w:asciiTheme="minorHAnsi" w:hAnsiTheme="minorHAnsi" w:cstheme="minorHAnsi"/>
                <w:i/>
                <w:szCs w:val="24"/>
              </w:rPr>
              <w:t>Should we try to get more online reg from out of our area?  There are US federal restrictions (see link).  Are the constraints on reg. from intl?  Right now we don’t have any.</w:t>
            </w:r>
          </w:p>
          <w:p w14:paraId="741937BC" w14:textId="067C0C01" w:rsidR="00913796" w:rsidRDefault="00913796" w:rsidP="00BB0DCB">
            <w:pPr>
              <w:rPr>
                <w:rFonts w:asciiTheme="minorHAnsi" w:hAnsiTheme="minorHAnsi" w:cstheme="minorHAnsi"/>
                <w:i/>
                <w:szCs w:val="24"/>
              </w:rPr>
            </w:pPr>
          </w:p>
          <w:p w14:paraId="5FE53AA2" w14:textId="78487CCE" w:rsidR="00913796" w:rsidRDefault="00913796" w:rsidP="00BB0DCB">
            <w:pPr>
              <w:rPr>
                <w:rFonts w:asciiTheme="minorHAnsi" w:hAnsiTheme="minorHAnsi" w:cstheme="minorHAnsi"/>
                <w:i/>
                <w:szCs w:val="24"/>
              </w:rPr>
            </w:pPr>
            <w:r>
              <w:rPr>
                <w:rFonts w:asciiTheme="minorHAnsi" w:hAnsiTheme="minorHAnsi" w:cstheme="minorHAnsi"/>
                <w:i/>
                <w:szCs w:val="24"/>
              </w:rPr>
              <w:t>SARA – creates a reciprocity agreement between states for online ed.  CA is the only state not in it.</w:t>
            </w:r>
          </w:p>
          <w:p w14:paraId="2E65D9A3" w14:textId="6493498C" w:rsidR="00913796" w:rsidRDefault="00913796" w:rsidP="00BB0DCB">
            <w:pPr>
              <w:rPr>
                <w:rFonts w:asciiTheme="minorHAnsi" w:hAnsiTheme="minorHAnsi" w:cstheme="minorHAnsi"/>
                <w:i/>
                <w:szCs w:val="24"/>
              </w:rPr>
            </w:pPr>
          </w:p>
          <w:p w14:paraId="01796D7C" w14:textId="73F01809" w:rsidR="00913796" w:rsidRDefault="00913796" w:rsidP="00BB0DCB">
            <w:pPr>
              <w:rPr>
                <w:rFonts w:asciiTheme="minorHAnsi" w:hAnsiTheme="minorHAnsi" w:cstheme="minorHAnsi"/>
                <w:i/>
                <w:color w:val="FF0000"/>
                <w:szCs w:val="24"/>
              </w:rPr>
            </w:pPr>
            <w:r>
              <w:rPr>
                <w:rFonts w:asciiTheme="minorHAnsi" w:hAnsiTheme="minorHAnsi" w:cstheme="minorHAnsi"/>
                <w:i/>
                <w:szCs w:val="24"/>
              </w:rPr>
              <w:t>We need online student supports:  tutoring, services, proctored</w:t>
            </w:r>
            <w:r w:rsidR="00183903">
              <w:rPr>
                <w:rFonts w:asciiTheme="minorHAnsi" w:hAnsiTheme="minorHAnsi" w:cstheme="minorHAnsi"/>
                <w:i/>
                <w:szCs w:val="24"/>
              </w:rPr>
              <w:t xml:space="preserve"> </w:t>
            </w:r>
            <w:r w:rsidR="00183903" w:rsidRPr="00183903">
              <w:rPr>
                <w:rFonts w:asciiTheme="minorHAnsi" w:hAnsiTheme="minorHAnsi" w:cstheme="minorHAnsi"/>
                <w:i/>
                <w:color w:val="00B050"/>
                <w:szCs w:val="24"/>
              </w:rPr>
              <w:t>– need to add “Hotspots” – how to help more students with internet access</w:t>
            </w:r>
          </w:p>
          <w:p w14:paraId="5CD719DD" w14:textId="1C5D6145" w:rsidR="00183903" w:rsidRDefault="00183903" w:rsidP="00BB0DCB">
            <w:pPr>
              <w:rPr>
                <w:rFonts w:asciiTheme="minorHAnsi" w:hAnsiTheme="minorHAnsi" w:cstheme="minorHAnsi"/>
                <w:i/>
                <w:color w:val="FF0000"/>
                <w:szCs w:val="24"/>
              </w:rPr>
            </w:pPr>
          </w:p>
          <w:p w14:paraId="45695AE0" w14:textId="279C79B2" w:rsidR="00183903" w:rsidRPr="00183903" w:rsidRDefault="00183903" w:rsidP="00BB0DCB">
            <w:pPr>
              <w:rPr>
                <w:rFonts w:asciiTheme="minorHAnsi" w:hAnsiTheme="minorHAnsi" w:cstheme="minorHAnsi"/>
                <w:i/>
                <w:color w:val="00B050"/>
                <w:szCs w:val="24"/>
              </w:rPr>
            </w:pPr>
            <w:r w:rsidRPr="00183903">
              <w:rPr>
                <w:rFonts w:asciiTheme="minorHAnsi" w:hAnsiTheme="minorHAnsi" w:cstheme="minorHAnsi"/>
                <w:i/>
                <w:color w:val="00B050"/>
                <w:szCs w:val="24"/>
              </w:rPr>
              <w:t xml:space="preserve">Let’s set </w:t>
            </w:r>
            <w:r w:rsidRPr="0061593F">
              <w:rPr>
                <w:rFonts w:asciiTheme="minorHAnsi" w:hAnsiTheme="minorHAnsi" w:cstheme="minorHAnsi"/>
                <w:b/>
                <w:i/>
                <w:color w:val="00B050"/>
                <w:szCs w:val="24"/>
              </w:rPr>
              <w:t>interest areas</w:t>
            </w:r>
            <w:r w:rsidRPr="00183903">
              <w:rPr>
                <w:rFonts w:asciiTheme="minorHAnsi" w:hAnsiTheme="minorHAnsi" w:cstheme="minorHAnsi"/>
                <w:i/>
                <w:color w:val="00B050"/>
                <w:szCs w:val="24"/>
              </w:rPr>
              <w:t xml:space="preserve"> and implement the Program Mapper</w:t>
            </w:r>
          </w:p>
          <w:p w14:paraId="5817FEA3" w14:textId="7F5BD282" w:rsidR="00C551D8" w:rsidRPr="00BB0DCB" w:rsidRDefault="00C551D8" w:rsidP="00BF2529">
            <w:pPr>
              <w:rPr>
                <w:rFonts w:asciiTheme="minorHAnsi" w:hAnsiTheme="minorHAnsi" w:cstheme="minorHAnsi"/>
                <w:szCs w:val="24"/>
              </w:rPr>
            </w:pPr>
          </w:p>
        </w:tc>
      </w:tr>
      <w:tr w:rsidR="00C551D8" w:rsidRPr="002A05D8" w14:paraId="25EA772C" w14:textId="77777777" w:rsidTr="00C551D8">
        <w:tc>
          <w:tcPr>
            <w:tcW w:w="3505" w:type="dxa"/>
          </w:tcPr>
          <w:p w14:paraId="1E00BC03" w14:textId="16B552DF" w:rsidR="00C551D8" w:rsidRPr="008304E4" w:rsidRDefault="00C551D8" w:rsidP="00BB0DCB">
            <w:pPr>
              <w:rPr>
                <w:rFonts w:asciiTheme="minorHAnsi" w:hAnsiTheme="minorHAnsi" w:cstheme="minorHAnsi"/>
                <w:b/>
                <w:szCs w:val="24"/>
              </w:rPr>
            </w:pPr>
            <w:r w:rsidRPr="008304E4">
              <w:rPr>
                <w:rFonts w:asciiTheme="minorHAnsi" w:hAnsiTheme="minorHAnsi" w:cstheme="minorHAnsi"/>
                <w:b/>
                <w:szCs w:val="24"/>
              </w:rPr>
              <w:lastRenderedPageBreak/>
              <w:t>NEW Standing ITEM:  Campus-wide Outreach and Community Plan</w:t>
            </w:r>
          </w:p>
          <w:p w14:paraId="5F37E9D4" w14:textId="1D397F28" w:rsidR="00C551D8" w:rsidRPr="008304E4" w:rsidRDefault="00C551D8" w:rsidP="00BB0DCB">
            <w:pPr>
              <w:rPr>
                <w:rFonts w:asciiTheme="minorHAnsi" w:hAnsiTheme="minorHAnsi" w:cstheme="minorHAnsi"/>
                <w:b/>
                <w:szCs w:val="24"/>
              </w:rPr>
            </w:pPr>
            <w:r w:rsidRPr="008304E4">
              <w:rPr>
                <w:rFonts w:asciiTheme="minorHAnsi" w:eastAsiaTheme="minorHAnsi" w:hAnsiTheme="minorHAnsi" w:cstheme="minorHAnsi"/>
                <w:lang w:bidi="ar-SA"/>
              </w:rPr>
              <w:t>Cañada’s Local Area Recruitment Group to propose how we might develop a campus-wide outreach (and communications) plan and weave it into the SEM Plan.  This should include ideas for engaging faculty in outreach and communications.</w:t>
            </w:r>
          </w:p>
        </w:tc>
        <w:tc>
          <w:tcPr>
            <w:tcW w:w="6750" w:type="dxa"/>
          </w:tcPr>
          <w:p w14:paraId="41CFE09F" w14:textId="77777777" w:rsidR="00C551D8" w:rsidRPr="00BB0DCB" w:rsidRDefault="00C551D8" w:rsidP="00BB0DCB">
            <w:pPr>
              <w:rPr>
                <w:rFonts w:asciiTheme="minorHAnsi" w:hAnsiTheme="minorHAnsi" w:cstheme="minorHAnsi"/>
                <w:szCs w:val="24"/>
              </w:rPr>
            </w:pPr>
            <w:r w:rsidRPr="00BB0DCB">
              <w:rPr>
                <w:rFonts w:asciiTheme="minorHAnsi" w:hAnsiTheme="minorHAnsi" w:cstheme="minorHAnsi"/>
                <w:szCs w:val="24"/>
              </w:rPr>
              <w:t>Myra Arellano and Marisol Quevedo</w:t>
            </w:r>
          </w:p>
          <w:p w14:paraId="7F124919" w14:textId="77777777" w:rsidR="00C551D8" w:rsidRPr="00BB0DCB" w:rsidRDefault="00C551D8" w:rsidP="00BB0DCB">
            <w:pPr>
              <w:rPr>
                <w:rFonts w:asciiTheme="minorHAnsi" w:hAnsiTheme="minorHAnsi" w:cstheme="minorHAnsi"/>
                <w:szCs w:val="24"/>
              </w:rPr>
            </w:pPr>
          </w:p>
        </w:tc>
      </w:tr>
      <w:tr w:rsidR="00C551D8" w:rsidRPr="002A05D8" w14:paraId="4F740FBA" w14:textId="77777777" w:rsidTr="00C551D8">
        <w:tc>
          <w:tcPr>
            <w:tcW w:w="3505" w:type="dxa"/>
          </w:tcPr>
          <w:p w14:paraId="753F02C7" w14:textId="77777777" w:rsidR="00C551D8" w:rsidRPr="008304E4" w:rsidRDefault="00C551D8" w:rsidP="00BB0DCB">
            <w:pPr>
              <w:rPr>
                <w:rFonts w:asciiTheme="minorHAnsi" w:hAnsiTheme="minorHAnsi" w:cstheme="minorHAnsi"/>
                <w:b/>
                <w:szCs w:val="24"/>
              </w:rPr>
            </w:pPr>
            <w:r w:rsidRPr="008304E4">
              <w:rPr>
                <w:rFonts w:asciiTheme="minorHAnsi" w:hAnsiTheme="minorHAnsi" w:cstheme="minorHAnsi"/>
                <w:b/>
                <w:szCs w:val="24"/>
              </w:rPr>
              <w:t>Next Steps &amp; Items for Future Meetings</w:t>
            </w:r>
          </w:p>
          <w:p w14:paraId="13D49A6C" w14:textId="77777777" w:rsidR="00C551D8" w:rsidRPr="008304E4" w:rsidRDefault="00C551D8" w:rsidP="00BB0DCB">
            <w:pPr>
              <w:pStyle w:val="ListParagraph"/>
              <w:numPr>
                <w:ilvl w:val="0"/>
                <w:numId w:val="9"/>
              </w:numPr>
              <w:rPr>
                <w:rFonts w:asciiTheme="minorHAnsi" w:hAnsiTheme="minorHAnsi" w:cstheme="minorHAnsi"/>
                <w:b/>
              </w:rPr>
            </w:pPr>
            <w:r w:rsidRPr="008304E4">
              <w:rPr>
                <w:rFonts w:asciiTheme="minorHAnsi" w:hAnsiTheme="minorHAnsi" w:cstheme="minorHAnsi"/>
              </w:rPr>
              <w:t>Next Steps on DE Strategies</w:t>
            </w:r>
          </w:p>
          <w:p w14:paraId="11F0C5E7" w14:textId="55AE1E7E" w:rsidR="00C551D8" w:rsidRPr="008304E4" w:rsidRDefault="00C551D8" w:rsidP="00BB0DCB">
            <w:pPr>
              <w:pStyle w:val="ListParagraph"/>
              <w:numPr>
                <w:ilvl w:val="0"/>
                <w:numId w:val="9"/>
              </w:numPr>
              <w:rPr>
                <w:rFonts w:asciiTheme="minorHAnsi" w:hAnsiTheme="minorHAnsi" w:cstheme="minorHAnsi"/>
                <w:b/>
              </w:rPr>
            </w:pPr>
            <w:r w:rsidRPr="008304E4">
              <w:rPr>
                <w:rFonts w:asciiTheme="minorHAnsi" w:hAnsiTheme="minorHAnsi" w:cstheme="minorHAnsi"/>
              </w:rPr>
              <w:t>Campus-wide Outreach</w:t>
            </w:r>
          </w:p>
          <w:p w14:paraId="235EDD98" w14:textId="33E83CF2" w:rsidR="00C551D8" w:rsidRPr="008304E4" w:rsidRDefault="00C551D8" w:rsidP="00BB0DCB">
            <w:pPr>
              <w:pStyle w:val="ListParagraph"/>
              <w:numPr>
                <w:ilvl w:val="0"/>
                <w:numId w:val="9"/>
              </w:numPr>
              <w:rPr>
                <w:rFonts w:asciiTheme="minorHAnsi" w:hAnsiTheme="minorHAnsi" w:cstheme="minorHAnsi"/>
                <w:b/>
                <w:szCs w:val="24"/>
              </w:rPr>
            </w:pPr>
            <w:r w:rsidRPr="008304E4">
              <w:rPr>
                <w:rFonts w:asciiTheme="minorHAnsi" w:hAnsiTheme="minorHAnsi" w:cstheme="minorHAnsi"/>
              </w:rPr>
              <w:t>Guided Pathways – key strategies emerging from inquiry phase</w:t>
            </w:r>
          </w:p>
        </w:tc>
        <w:tc>
          <w:tcPr>
            <w:tcW w:w="6750" w:type="dxa"/>
          </w:tcPr>
          <w:p w14:paraId="6B038D5D" w14:textId="5E34E21F" w:rsidR="00C551D8" w:rsidRDefault="00C551D8" w:rsidP="00BB0DCB">
            <w:pPr>
              <w:pStyle w:val="TableParagraph"/>
              <w:spacing w:line="269" w:lineRule="exact"/>
              <w:rPr>
                <w:rFonts w:asciiTheme="minorHAnsi" w:hAnsiTheme="minorHAnsi" w:cstheme="minorHAnsi"/>
              </w:rPr>
            </w:pPr>
          </w:p>
          <w:p w14:paraId="2DD3A4A4" w14:textId="77777777" w:rsidR="00C551D8" w:rsidRPr="00BB0DCB" w:rsidRDefault="00C551D8" w:rsidP="00BB0DCB">
            <w:pPr>
              <w:pStyle w:val="TableParagraph"/>
              <w:spacing w:line="269" w:lineRule="exact"/>
              <w:rPr>
                <w:rFonts w:asciiTheme="minorHAnsi" w:hAnsiTheme="minorHAnsi" w:cstheme="minorHAnsi"/>
              </w:rPr>
            </w:pPr>
          </w:p>
          <w:p w14:paraId="70CA1ACA" w14:textId="77777777" w:rsidR="00C551D8" w:rsidRPr="00BB0DCB" w:rsidRDefault="00C551D8" w:rsidP="00BB0DCB">
            <w:pPr>
              <w:pStyle w:val="TableParagraph"/>
              <w:numPr>
                <w:ilvl w:val="0"/>
                <w:numId w:val="9"/>
              </w:numPr>
              <w:spacing w:line="269" w:lineRule="exact"/>
              <w:ind w:left="160" w:hanging="180"/>
              <w:rPr>
                <w:rFonts w:asciiTheme="minorHAnsi" w:hAnsiTheme="minorHAnsi" w:cstheme="minorHAnsi"/>
              </w:rPr>
            </w:pPr>
            <w:r w:rsidRPr="00BB0DCB">
              <w:rPr>
                <w:rFonts w:asciiTheme="minorHAnsi" w:hAnsiTheme="minorHAnsi" w:cstheme="minorHAnsi"/>
              </w:rPr>
              <w:t>Myra and Marisol</w:t>
            </w:r>
          </w:p>
          <w:p w14:paraId="0967DB9A" w14:textId="6ADFCCD0" w:rsidR="00C551D8" w:rsidRPr="002A05D8" w:rsidRDefault="00C551D8" w:rsidP="00BB0DCB">
            <w:pPr>
              <w:pStyle w:val="TableParagraph"/>
              <w:numPr>
                <w:ilvl w:val="0"/>
                <w:numId w:val="9"/>
              </w:numPr>
              <w:spacing w:line="269" w:lineRule="exact"/>
              <w:ind w:left="160" w:hanging="180"/>
              <w:rPr>
                <w:rFonts w:asciiTheme="minorHAnsi" w:hAnsiTheme="minorHAnsi" w:cstheme="minorHAnsi"/>
                <w:sz w:val="24"/>
              </w:rPr>
            </w:pPr>
            <w:r w:rsidRPr="00BB0DCB">
              <w:rPr>
                <w:rFonts w:asciiTheme="minorHAnsi" w:hAnsiTheme="minorHAnsi" w:cstheme="minorHAnsi"/>
              </w:rPr>
              <w:t>Char Perlas &amp; Maureen Wiley</w:t>
            </w:r>
          </w:p>
        </w:tc>
      </w:tr>
      <w:tr w:rsidR="00C551D8" w:rsidRPr="002A05D8" w14:paraId="6E861ABB" w14:textId="77777777" w:rsidTr="00C551D8">
        <w:tc>
          <w:tcPr>
            <w:tcW w:w="3505" w:type="dxa"/>
          </w:tcPr>
          <w:p w14:paraId="1058FD27" w14:textId="77777777" w:rsidR="00C551D8" w:rsidRDefault="00C551D8" w:rsidP="00BB0DCB">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C551D8" w:rsidRPr="002A05D8" w:rsidRDefault="00C551D8" w:rsidP="00BB0DCB">
            <w:pPr>
              <w:rPr>
                <w:rFonts w:asciiTheme="minorHAnsi" w:hAnsiTheme="minorHAnsi" w:cstheme="minorHAnsi"/>
                <w:b/>
                <w:sz w:val="24"/>
                <w:szCs w:val="24"/>
              </w:rPr>
            </w:pPr>
          </w:p>
        </w:tc>
        <w:tc>
          <w:tcPr>
            <w:tcW w:w="6750" w:type="dxa"/>
          </w:tcPr>
          <w:p w14:paraId="4139636B" w14:textId="77777777" w:rsidR="00C551D8" w:rsidRPr="002A05D8" w:rsidRDefault="00C551D8" w:rsidP="00BB0DCB">
            <w:pPr>
              <w:rPr>
                <w:rFonts w:asciiTheme="minorHAnsi" w:hAnsiTheme="minorHAnsi" w:cstheme="minorHAnsi"/>
                <w:sz w:val="24"/>
                <w:szCs w:val="24"/>
              </w:rPr>
            </w:pPr>
          </w:p>
        </w:tc>
      </w:tr>
    </w:tbl>
    <w:p w14:paraId="53A4590D" w14:textId="77777777" w:rsidR="00BF2529" w:rsidRPr="002A05D8" w:rsidRDefault="00987332" w:rsidP="00BD604A">
      <w:pPr>
        <w:pStyle w:val="BodyText"/>
        <w:ind w:left="100"/>
        <w:rPr>
          <w:rFonts w:asciiTheme="minorHAnsi" w:hAnsiTheme="minorHAnsi" w:cstheme="minorHAnsi"/>
        </w:rPr>
      </w:pPr>
      <w:r w:rsidRPr="002A05D8">
        <w:rPr>
          <w:rFonts w:asciiTheme="minorHAnsi" w:hAnsiTheme="minorHAnsi" w:cstheme="minorHAnsi"/>
        </w:rPr>
        <w:br w:type="textWrapping" w:clear="all"/>
      </w:r>
    </w:p>
    <w:sectPr w:rsidR="00BF2529" w:rsidRPr="002A05D8" w:rsidSect="00E72B88">
      <w:type w:val="continuous"/>
      <w:pgSz w:w="12240" w:h="15840"/>
      <w:pgMar w:top="432" w:right="317" w:bottom="288"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7"/>
  </w:num>
  <w:num w:numId="6">
    <w:abstractNumId w:val="10"/>
  </w:num>
  <w:num w:numId="7">
    <w:abstractNumId w:val="3"/>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70DA6"/>
    <w:rsid w:val="000F4797"/>
    <w:rsid w:val="00104CC9"/>
    <w:rsid w:val="00183903"/>
    <w:rsid w:val="001E2A07"/>
    <w:rsid w:val="00212324"/>
    <w:rsid w:val="00224914"/>
    <w:rsid w:val="002329BF"/>
    <w:rsid w:val="00252553"/>
    <w:rsid w:val="00280091"/>
    <w:rsid w:val="00280566"/>
    <w:rsid w:val="002A05D8"/>
    <w:rsid w:val="002C6110"/>
    <w:rsid w:val="003461D2"/>
    <w:rsid w:val="003F3541"/>
    <w:rsid w:val="00462183"/>
    <w:rsid w:val="004D6EFA"/>
    <w:rsid w:val="004E0BA9"/>
    <w:rsid w:val="0051578C"/>
    <w:rsid w:val="0055556E"/>
    <w:rsid w:val="005907FE"/>
    <w:rsid w:val="005A1E0B"/>
    <w:rsid w:val="005C582E"/>
    <w:rsid w:val="0061593F"/>
    <w:rsid w:val="00682002"/>
    <w:rsid w:val="006A4CE7"/>
    <w:rsid w:val="006E3898"/>
    <w:rsid w:val="00766B1B"/>
    <w:rsid w:val="00771FBD"/>
    <w:rsid w:val="00794D05"/>
    <w:rsid w:val="007B4E43"/>
    <w:rsid w:val="007C64A6"/>
    <w:rsid w:val="007F498B"/>
    <w:rsid w:val="008304E4"/>
    <w:rsid w:val="008547D3"/>
    <w:rsid w:val="00884AAC"/>
    <w:rsid w:val="00887F5E"/>
    <w:rsid w:val="008913AD"/>
    <w:rsid w:val="008B229F"/>
    <w:rsid w:val="008B68C5"/>
    <w:rsid w:val="0090089F"/>
    <w:rsid w:val="00913796"/>
    <w:rsid w:val="0092043B"/>
    <w:rsid w:val="00987332"/>
    <w:rsid w:val="009E0689"/>
    <w:rsid w:val="009E3C12"/>
    <w:rsid w:val="009F0BD3"/>
    <w:rsid w:val="00A15ACF"/>
    <w:rsid w:val="00A227E8"/>
    <w:rsid w:val="00A56831"/>
    <w:rsid w:val="00AD083B"/>
    <w:rsid w:val="00B7067E"/>
    <w:rsid w:val="00BB0DCB"/>
    <w:rsid w:val="00BB3913"/>
    <w:rsid w:val="00BB770D"/>
    <w:rsid w:val="00BD604A"/>
    <w:rsid w:val="00BF2529"/>
    <w:rsid w:val="00BF390D"/>
    <w:rsid w:val="00BF579D"/>
    <w:rsid w:val="00C551D8"/>
    <w:rsid w:val="00D57F5D"/>
    <w:rsid w:val="00D62F51"/>
    <w:rsid w:val="00D63463"/>
    <w:rsid w:val="00E275BF"/>
    <w:rsid w:val="00E42FDB"/>
    <w:rsid w:val="00E55DFA"/>
    <w:rsid w:val="00E726FC"/>
    <w:rsid w:val="00E72B88"/>
    <w:rsid w:val="00EB3FB9"/>
    <w:rsid w:val="00EF349D"/>
    <w:rsid w:val="00F22DD4"/>
    <w:rsid w:val="00F5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11</cp:revision>
  <dcterms:created xsi:type="dcterms:W3CDTF">2019-03-13T16:12:00Z</dcterms:created>
  <dcterms:modified xsi:type="dcterms:W3CDTF">2019-03-13T17:16:00Z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