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750FC274" w:rsidR="000C09EC" w:rsidRPr="00371B70" w:rsidRDefault="00AB0FC9" w:rsidP="000C09EC">
      <w:pPr>
        <w:jc w:val="center"/>
        <w:rPr>
          <w:rFonts w:ascii="Arial" w:hAnsi="Arial" w:cs="Arial"/>
          <w:b/>
        </w:rPr>
      </w:pPr>
      <w:bookmarkStart w:id="0" w:name="_GoBack"/>
      <w:bookmarkEnd w:id="0"/>
      <w:r>
        <w:rPr>
          <w:rFonts w:ascii="Arial" w:hAnsi="Arial" w:cs="Arial"/>
          <w:b/>
        </w:rPr>
        <w:t>Learning Center</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7328647A" w14:textId="39B37FB7" w:rsidR="00A34839" w:rsidRDefault="00AB0FC9" w:rsidP="007114A6">
      <w:r>
        <w:rPr>
          <w:noProof/>
        </w:rPr>
        <w:drawing>
          <wp:inline distT="0" distB="0" distL="0" distR="0" wp14:anchorId="36376A85" wp14:editId="18CEBB43">
            <wp:extent cx="3694176" cy="2203704"/>
            <wp:effectExtent l="19050" t="19050" r="20955" b="254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LCTR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694176" cy="2203704"/>
                    </a:xfrm>
                    <a:prstGeom prst="rect">
                      <a:avLst/>
                    </a:prstGeom>
                    <a:ln>
                      <a:solidFill>
                        <a:schemeClr val="bg2">
                          <a:lumMod val="50000"/>
                        </a:schemeClr>
                      </a:solidFill>
                    </a:ln>
                  </pic:spPr>
                </pic:pic>
              </a:graphicData>
            </a:graphic>
          </wp:inline>
        </w:drawing>
      </w:r>
    </w:p>
    <w:p w14:paraId="29CC0869" w14:textId="5151C49F" w:rsidR="00C52357" w:rsidRDefault="00CF317A" w:rsidP="007114A6">
      <w:pPr>
        <w:rPr>
          <w:rFonts w:ascii="Arial" w:eastAsia="Times New Roman" w:hAnsi="Arial" w:cs="Arial"/>
          <w:color w:val="000000"/>
        </w:rPr>
      </w:pPr>
      <w:r w:rsidRPr="002D1BAA">
        <w:rPr>
          <w:rFonts w:ascii="Arial" w:eastAsia="Times New Roman" w:hAnsi="Arial" w:cs="Arial"/>
          <w:color w:val="000000"/>
        </w:rPr>
        <w:t>H</w:t>
      </w:r>
      <w:r w:rsidR="005E1150" w:rsidRPr="002D1BAA">
        <w:rPr>
          <w:rFonts w:ascii="Arial" w:eastAsia="Times New Roman" w:hAnsi="Arial" w:cs="Arial"/>
          <w:color w:val="000000"/>
        </w:rPr>
        <w:t>eadcount</w:t>
      </w:r>
      <w:r w:rsidR="000C09EC" w:rsidRPr="002D1BAA">
        <w:rPr>
          <w:rFonts w:ascii="Arial" w:eastAsia="Times New Roman" w:hAnsi="Arial" w:cs="Arial"/>
          <w:color w:val="000000"/>
        </w:rPr>
        <w:t xml:space="preserve"> </w:t>
      </w:r>
      <w:r w:rsidR="00E75B0C" w:rsidRPr="002D1BAA">
        <w:rPr>
          <w:rFonts w:ascii="Arial" w:eastAsia="Times New Roman" w:hAnsi="Arial" w:cs="Arial"/>
          <w:color w:val="000000"/>
        </w:rPr>
        <w:t xml:space="preserve">in </w:t>
      </w:r>
      <w:r w:rsidR="006E29D7" w:rsidRPr="002D1BAA">
        <w:rPr>
          <w:rFonts w:ascii="Arial" w:eastAsia="Times New Roman" w:hAnsi="Arial" w:cs="Arial"/>
          <w:color w:val="000000"/>
        </w:rPr>
        <w:t>Learning Center</w:t>
      </w:r>
      <w:r w:rsidR="00E75B0C" w:rsidRPr="002D1BAA">
        <w:rPr>
          <w:rFonts w:ascii="Arial" w:eastAsia="Times New Roman" w:hAnsi="Arial" w:cs="Arial"/>
          <w:color w:val="000000"/>
        </w:rPr>
        <w:t xml:space="preserve"> </w:t>
      </w:r>
      <w:r w:rsidR="006E29D7" w:rsidRPr="002D1BAA">
        <w:rPr>
          <w:rFonts w:ascii="Arial" w:eastAsia="Times New Roman" w:hAnsi="Arial" w:cs="Arial"/>
          <w:color w:val="000000"/>
        </w:rPr>
        <w:t xml:space="preserve">courses </w:t>
      </w:r>
      <w:r w:rsidR="000C09EC" w:rsidRPr="002D1BAA">
        <w:rPr>
          <w:rFonts w:ascii="Arial" w:eastAsia="Times New Roman" w:hAnsi="Arial" w:cs="Arial"/>
          <w:color w:val="000000"/>
        </w:rPr>
        <w:t>w</w:t>
      </w:r>
      <w:r w:rsidR="002D1BAA">
        <w:rPr>
          <w:rFonts w:ascii="Arial" w:eastAsia="Times New Roman" w:hAnsi="Arial" w:cs="Arial"/>
          <w:color w:val="000000"/>
        </w:rPr>
        <w:t>as</w:t>
      </w:r>
      <w:r w:rsidR="000C09EC" w:rsidRPr="002D1BAA">
        <w:rPr>
          <w:rFonts w:ascii="Arial" w:eastAsia="Times New Roman" w:hAnsi="Arial" w:cs="Arial"/>
          <w:color w:val="000000"/>
        </w:rPr>
        <w:t xml:space="preserve"> down </w:t>
      </w:r>
      <w:r w:rsidR="002520A0" w:rsidRPr="002D1BAA">
        <w:rPr>
          <w:rFonts w:ascii="Arial" w:eastAsia="Times New Roman" w:hAnsi="Arial" w:cs="Arial"/>
          <w:color w:val="000000"/>
        </w:rPr>
        <w:t>2</w:t>
      </w:r>
      <w:r w:rsidR="006E29D7" w:rsidRPr="002D1BAA">
        <w:rPr>
          <w:rFonts w:ascii="Arial" w:eastAsia="Times New Roman" w:hAnsi="Arial" w:cs="Arial"/>
          <w:color w:val="000000"/>
        </w:rPr>
        <w:t>8</w:t>
      </w:r>
      <w:r w:rsidR="002520A0" w:rsidRPr="002D1BAA">
        <w:rPr>
          <w:rFonts w:ascii="Arial" w:eastAsia="Times New Roman" w:hAnsi="Arial" w:cs="Arial"/>
          <w:color w:val="000000"/>
        </w:rPr>
        <w:t>.</w:t>
      </w:r>
      <w:r w:rsidR="006E29D7" w:rsidRPr="002D1BAA">
        <w:rPr>
          <w:rFonts w:ascii="Arial" w:eastAsia="Times New Roman" w:hAnsi="Arial" w:cs="Arial"/>
          <w:color w:val="000000"/>
        </w:rPr>
        <w:t>2</w:t>
      </w:r>
      <w:r w:rsidR="000C09EC" w:rsidRPr="002D1BAA">
        <w:rPr>
          <w:rFonts w:ascii="Arial" w:eastAsia="Times New Roman" w:hAnsi="Arial" w:cs="Arial"/>
          <w:color w:val="000000"/>
        </w:rPr>
        <w:t xml:space="preserve">% in 2022-2023 </w:t>
      </w:r>
      <w:r w:rsidR="002520A0" w:rsidRPr="002D1BAA">
        <w:rPr>
          <w:rFonts w:ascii="Arial" w:eastAsia="Times New Roman" w:hAnsi="Arial" w:cs="Arial"/>
          <w:color w:val="000000"/>
        </w:rPr>
        <w:t>(1</w:t>
      </w:r>
      <w:r w:rsidR="002D1BAA" w:rsidRPr="002D1BAA">
        <w:rPr>
          <w:rFonts w:ascii="Arial" w:eastAsia="Times New Roman" w:hAnsi="Arial" w:cs="Arial"/>
          <w:color w:val="000000"/>
        </w:rPr>
        <w:t>12</w:t>
      </w:r>
      <w:r w:rsidR="002520A0" w:rsidRPr="002D1BAA">
        <w:rPr>
          <w:rFonts w:ascii="Arial" w:eastAsia="Times New Roman" w:hAnsi="Arial" w:cs="Arial"/>
          <w:color w:val="000000"/>
        </w:rPr>
        <w:t xml:space="preserve"> students) </w:t>
      </w:r>
      <w:r w:rsidR="000C09EC" w:rsidRPr="002D1BAA">
        <w:rPr>
          <w:rFonts w:ascii="Arial" w:eastAsia="Times New Roman" w:hAnsi="Arial" w:cs="Arial"/>
          <w:color w:val="000000"/>
        </w:rPr>
        <w:t xml:space="preserve">compared to </w:t>
      </w:r>
      <w:r w:rsidR="00B34B42" w:rsidRPr="002D1BAA">
        <w:rPr>
          <w:rFonts w:ascii="Arial" w:eastAsia="Times New Roman" w:hAnsi="Arial" w:cs="Arial"/>
          <w:color w:val="000000"/>
        </w:rPr>
        <w:t>2018-2019</w:t>
      </w:r>
      <w:r w:rsidR="000C09EC" w:rsidRPr="002D1BAA">
        <w:rPr>
          <w:rFonts w:ascii="Arial" w:eastAsia="Times New Roman" w:hAnsi="Arial" w:cs="Arial"/>
          <w:color w:val="000000"/>
        </w:rPr>
        <w:t xml:space="preserve"> (</w:t>
      </w:r>
      <w:r w:rsidR="002D1BAA" w:rsidRPr="002D1BAA">
        <w:rPr>
          <w:rFonts w:ascii="Arial" w:eastAsia="Times New Roman" w:hAnsi="Arial" w:cs="Arial"/>
          <w:color w:val="000000"/>
        </w:rPr>
        <w:t>156</w:t>
      </w:r>
      <w:r w:rsidR="002520A0" w:rsidRPr="002D1BAA">
        <w:rPr>
          <w:rFonts w:ascii="Arial" w:eastAsia="Times New Roman" w:hAnsi="Arial" w:cs="Arial"/>
          <w:color w:val="000000"/>
        </w:rPr>
        <w:t xml:space="preserve"> students</w:t>
      </w:r>
      <w:r w:rsidR="000C09EC" w:rsidRPr="002D1BAA">
        <w:rPr>
          <w:rFonts w:ascii="Arial" w:eastAsia="Times New Roman" w:hAnsi="Arial" w:cs="Arial"/>
          <w:color w:val="000000"/>
        </w:rPr>
        <w:t>).</w:t>
      </w:r>
      <w:r w:rsidR="00486499" w:rsidRPr="002D1BAA">
        <w:rPr>
          <w:rFonts w:ascii="Arial" w:eastAsia="Times New Roman" w:hAnsi="Arial" w:cs="Arial"/>
          <w:color w:val="000000"/>
        </w:rPr>
        <w:t xml:space="preserve"> Headcount </w:t>
      </w:r>
      <w:r w:rsidR="002520A0" w:rsidRPr="002D1BAA">
        <w:rPr>
          <w:rFonts w:ascii="Arial" w:eastAsia="Times New Roman" w:hAnsi="Arial" w:cs="Arial"/>
          <w:color w:val="000000"/>
        </w:rPr>
        <w:t xml:space="preserve">declined steadily for </w:t>
      </w:r>
      <w:r w:rsidR="002D1BAA" w:rsidRPr="002D1BAA">
        <w:rPr>
          <w:rFonts w:ascii="Arial" w:eastAsia="Times New Roman" w:hAnsi="Arial" w:cs="Arial"/>
          <w:color w:val="000000"/>
        </w:rPr>
        <w:t>three</w:t>
      </w:r>
      <w:r w:rsidR="002520A0" w:rsidRPr="002D1BAA">
        <w:rPr>
          <w:rFonts w:ascii="Arial" w:eastAsia="Times New Roman" w:hAnsi="Arial" w:cs="Arial"/>
          <w:color w:val="000000"/>
        </w:rPr>
        <w:t xml:space="preserve"> academic years then increased slightly </w:t>
      </w:r>
      <w:r w:rsidR="002D1BAA" w:rsidRPr="002D1BAA">
        <w:rPr>
          <w:rFonts w:ascii="Arial" w:eastAsia="Times New Roman" w:hAnsi="Arial" w:cs="Arial"/>
          <w:color w:val="000000"/>
        </w:rPr>
        <w:t xml:space="preserve">for one year before decreasing again </w:t>
      </w:r>
      <w:r w:rsidR="002520A0" w:rsidRPr="002D1BAA">
        <w:rPr>
          <w:rFonts w:ascii="Arial" w:eastAsia="Times New Roman" w:hAnsi="Arial" w:cs="Arial"/>
          <w:color w:val="000000"/>
        </w:rPr>
        <w:t>in the most recent academic year</w:t>
      </w:r>
      <w:r w:rsidR="00B34B42" w:rsidRPr="002D1BAA">
        <w:rPr>
          <w:rFonts w:ascii="Arial" w:eastAsia="Times New Roman" w:hAnsi="Arial" w:cs="Arial"/>
          <w:color w:val="000000"/>
        </w:rPr>
        <w:t>.</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45DA0132" w:rsidR="00E765D2" w:rsidRDefault="00AB0FC9" w:rsidP="00C52357">
      <w:r>
        <w:rPr>
          <w:noProof/>
        </w:rPr>
        <w:drawing>
          <wp:inline distT="0" distB="0" distL="0" distR="0" wp14:anchorId="576CB66D" wp14:editId="4DF2C338">
            <wp:extent cx="3694176" cy="2670048"/>
            <wp:effectExtent l="19050" t="19050" r="20955" b="165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CTR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694176" cy="2670048"/>
                    </a:xfrm>
                    <a:prstGeom prst="rect">
                      <a:avLst/>
                    </a:prstGeom>
                    <a:ln>
                      <a:solidFill>
                        <a:schemeClr val="bg2">
                          <a:lumMod val="50000"/>
                        </a:schemeClr>
                      </a:solidFill>
                    </a:ln>
                  </pic:spPr>
                </pic:pic>
              </a:graphicData>
            </a:graphic>
          </wp:inline>
        </w:drawing>
      </w:r>
    </w:p>
    <w:p w14:paraId="1B7FB8BC" w14:textId="492AB2FE" w:rsidR="00C52357" w:rsidRPr="00E765D2" w:rsidRDefault="00C52357" w:rsidP="00C52357">
      <w:r w:rsidRPr="002D1BAA">
        <w:rPr>
          <w:rFonts w:ascii="Arial" w:eastAsia="Times New Roman" w:hAnsi="Arial" w:cs="Arial"/>
          <w:color w:val="000000"/>
        </w:rPr>
        <w:t xml:space="preserve">Enrollment </w:t>
      </w:r>
      <w:r w:rsidR="00E765D2" w:rsidRPr="002D1BAA">
        <w:rPr>
          <w:rFonts w:ascii="Arial" w:eastAsia="Times New Roman" w:hAnsi="Arial" w:cs="Arial"/>
          <w:color w:val="000000"/>
        </w:rPr>
        <w:t xml:space="preserve">in </w:t>
      </w:r>
      <w:r w:rsidR="006E29D7" w:rsidRPr="002D1BAA">
        <w:rPr>
          <w:rFonts w:ascii="Arial" w:eastAsia="Times New Roman" w:hAnsi="Arial" w:cs="Arial"/>
          <w:color w:val="000000"/>
        </w:rPr>
        <w:t>Learning Center</w:t>
      </w:r>
      <w:r w:rsidR="00A1047B" w:rsidRPr="002D1BAA">
        <w:rPr>
          <w:rFonts w:ascii="Arial" w:eastAsia="Times New Roman" w:hAnsi="Arial" w:cs="Arial"/>
          <w:color w:val="000000"/>
        </w:rPr>
        <w:t xml:space="preserve"> </w:t>
      </w:r>
      <w:r w:rsidR="002D1BAA" w:rsidRPr="002D1BAA">
        <w:rPr>
          <w:rFonts w:ascii="Arial" w:eastAsia="Times New Roman" w:hAnsi="Arial" w:cs="Arial"/>
          <w:color w:val="000000"/>
        </w:rPr>
        <w:t>courses was</w:t>
      </w:r>
      <w:r w:rsidRPr="002D1BAA">
        <w:rPr>
          <w:rFonts w:ascii="Arial" w:eastAsia="Times New Roman" w:hAnsi="Arial" w:cs="Arial"/>
          <w:color w:val="000000"/>
        </w:rPr>
        <w:t xml:space="preserve"> </w:t>
      </w:r>
      <w:r w:rsidR="002D1BAA" w:rsidRPr="002D1BAA">
        <w:rPr>
          <w:rFonts w:ascii="Arial" w:eastAsia="Times New Roman" w:hAnsi="Arial" w:cs="Arial"/>
          <w:color w:val="000000"/>
        </w:rPr>
        <w:t>up</w:t>
      </w:r>
      <w:r w:rsidRPr="002D1BAA">
        <w:rPr>
          <w:rFonts w:ascii="Arial" w:eastAsia="Times New Roman" w:hAnsi="Arial" w:cs="Arial"/>
          <w:color w:val="000000"/>
        </w:rPr>
        <w:t xml:space="preserve"> </w:t>
      </w:r>
      <w:r w:rsidR="002D1BAA" w:rsidRPr="002D1BAA">
        <w:rPr>
          <w:rFonts w:ascii="Arial" w:eastAsia="Times New Roman" w:hAnsi="Arial" w:cs="Arial"/>
          <w:color w:val="000000"/>
        </w:rPr>
        <w:t>5.7</w:t>
      </w:r>
      <w:r w:rsidRPr="002D1BAA">
        <w:rPr>
          <w:rFonts w:ascii="Arial" w:eastAsia="Times New Roman" w:hAnsi="Arial" w:cs="Arial"/>
          <w:color w:val="000000"/>
        </w:rPr>
        <w:t>% in 2022-2023</w:t>
      </w:r>
      <w:r w:rsidR="00E765D2" w:rsidRPr="002D1BAA">
        <w:rPr>
          <w:rFonts w:ascii="Arial" w:eastAsia="Times New Roman" w:hAnsi="Arial" w:cs="Arial"/>
          <w:color w:val="000000"/>
        </w:rPr>
        <w:t xml:space="preserve"> </w:t>
      </w:r>
      <w:r w:rsidRPr="002D1BAA">
        <w:rPr>
          <w:rFonts w:ascii="Arial" w:eastAsia="Times New Roman" w:hAnsi="Arial" w:cs="Arial"/>
          <w:color w:val="000000"/>
        </w:rPr>
        <w:t>compared to five years ago</w:t>
      </w:r>
      <w:r w:rsidR="00131B64" w:rsidRPr="002D1BAA">
        <w:rPr>
          <w:rFonts w:ascii="Arial" w:eastAsia="Times New Roman" w:hAnsi="Arial" w:cs="Arial"/>
          <w:color w:val="000000"/>
        </w:rPr>
        <w:t xml:space="preserve"> in 2018-2019</w:t>
      </w:r>
      <w:r w:rsidR="002D1BAA" w:rsidRPr="002D1BAA">
        <w:rPr>
          <w:rFonts w:ascii="Arial" w:eastAsia="Times New Roman" w:hAnsi="Arial" w:cs="Arial"/>
          <w:color w:val="000000"/>
        </w:rPr>
        <w:t xml:space="preserve">. </w:t>
      </w:r>
      <w:r w:rsidR="006E29D7" w:rsidRPr="002D1BAA">
        <w:rPr>
          <w:rFonts w:ascii="Arial" w:eastAsia="Times New Roman" w:hAnsi="Arial" w:cs="Arial"/>
          <w:color w:val="000000"/>
        </w:rPr>
        <w:t>Learning Center</w:t>
      </w:r>
      <w:r w:rsidR="002D1BAA" w:rsidRPr="002D1BAA">
        <w:rPr>
          <w:rFonts w:ascii="Arial" w:eastAsia="Times New Roman" w:hAnsi="Arial" w:cs="Arial"/>
          <w:color w:val="000000"/>
        </w:rPr>
        <w:t xml:space="preserve"> enrollments spiked to 475 for one academic year in 2020-2021.</w:t>
      </w:r>
      <w:r w:rsidR="00BA6888">
        <w:rPr>
          <w:rFonts w:ascii="Arial" w:eastAsia="Times New Roman" w:hAnsi="Arial" w:cs="Arial"/>
          <w:color w:val="000000"/>
        </w:rPr>
        <w:t xml:space="preserve"> </w:t>
      </w:r>
    </w:p>
    <w:p w14:paraId="1C4550EB" w14:textId="77777777" w:rsidR="00E5416B" w:rsidRDefault="00E5416B" w:rsidP="007114A6"/>
    <w:p w14:paraId="73248B57" w14:textId="210244AB" w:rsidR="006B34B1" w:rsidRDefault="00AB0FC9" w:rsidP="007114A6">
      <w:r>
        <w:rPr>
          <w:noProof/>
        </w:rPr>
        <w:lastRenderedPageBreak/>
        <w:drawing>
          <wp:inline distT="0" distB="0" distL="0" distR="0" wp14:anchorId="01AEFA6D" wp14:editId="464F86A9">
            <wp:extent cx="3758184" cy="2258568"/>
            <wp:effectExtent l="19050" t="19050" r="13970" b="279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8184" cy="2258568"/>
                    </a:xfrm>
                    <a:prstGeom prst="rect">
                      <a:avLst/>
                    </a:prstGeom>
                    <a:noFill/>
                    <a:ln>
                      <a:solidFill>
                        <a:schemeClr val="bg2">
                          <a:lumMod val="50000"/>
                        </a:schemeClr>
                      </a:solidFill>
                    </a:ln>
                  </pic:spPr>
                </pic:pic>
              </a:graphicData>
            </a:graphic>
          </wp:inline>
        </w:drawing>
      </w:r>
    </w:p>
    <w:p w14:paraId="131D9B61" w14:textId="37C39BB0" w:rsidR="00DB454B" w:rsidRDefault="00E5416B" w:rsidP="007114A6">
      <w:pPr>
        <w:rPr>
          <w:rFonts w:ascii="Arial" w:hAnsi="Arial" w:cs="Arial"/>
        </w:rPr>
      </w:pPr>
      <w:r w:rsidRPr="002D1BAA">
        <w:rPr>
          <w:rFonts w:ascii="Arial" w:hAnsi="Arial" w:cs="Arial"/>
        </w:rPr>
        <w:t>F</w:t>
      </w:r>
      <w:r w:rsidR="003944C1" w:rsidRPr="002D1BAA">
        <w:rPr>
          <w:rFonts w:ascii="Arial" w:hAnsi="Arial" w:cs="Arial"/>
        </w:rPr>
        <w:t xml:space="preserve">ull-time equivalent students (FTES) </w:t>
      </w:r>
      <w:r w:rsidR="00131B64" w:rsidRPr="002D1BAA">
        <w:rPr>
          <w:rFonts w:ascii="Arial" w:hAnsi="Arial" w:cs="Arial"/>
        </w:rPr>
        <w:t xml:space="preserve">in </w:t>
      </w:r>
      <w:r w:rsidR="002D1BAA" w:rsidRPr="002D1BAA">
        <w:rPr>
          <w:rFonts w:ascii="Arial" w:hAnsi="Arial" w:cs="Arial"/>
        </w:rPr>
        <w:t xml:space="preserve">the </w:t>
      </w:r>
      <w:r w:rsidR="006E29D7" w:rsidRPr="002D1BAA">
        <w:rPr>
          <w:rFonts w:ascii="Arial" w:hAnsi="Arial" w:cs="Arial"/>
        </w:rPr>
        <w:t>Learning Center</w:t>
      </w:r>
      <w:r w:rsidRPr="002D1BAA">
        <w:rPr>
          <w:rFonts w:ascii="Arial" w:hAnsi="Arial" w:cs="Arial"/>
        </w:rPr>
        <w:t xml:space="preserve"> </w:t>
      </w:r>
      <w:r w:rsidR="003944C1" w:rsidRPr="002D1BAA">
        <w:rPr>
          <w:rFonts w:ascii="Arial" w:hAnsi="Arial" w:cs="Arial"/>
        </w:rPr>
        <w:t xml:space="preserve">was down </w:t>
      </w:r>
      <w:r w:rsidR="002D1BAA" w:rsidRPr="002D1BAA">
        <w:rPr>
          <w:rFonts w:ascii="Arial" w:hAnsi="Arial" w:cs="Arial"/>
        </w:rPr>
        <w:t>92.3</w:t>
      </w:r>
      <w:r w:rsidR="003944C1" w:rsidRPr="002D1BAA">
        <w:rPr>
          <w:rFonts w:ascii="Arial" w:hAnsi="Arial" w:cs="Arial"/>
        </w:rPr>
        <w:t xml:space="preserve">% in the most recent academic year (2022-2023) compared to five years ago (2018-2019), a </w:t>
      </w:r>
      <w:r w:rsidR="009B57FF" w:rsidRPr="002D1BAA">
        <w:rPr>
          <w:rFonts w:ascii="Arial" w:hAnsi="Arial" w:cs="Arial"/>
        </w:rPr>
        <w:t>decrease</w:t>
      </w:r>
      <w:r w:rsidR="003944C1" w:rsidRPr="002D1BAA">
        <w:rPr>
          <w:rFonts w:ascii="Arial" w:hAnsi="Arial" w:cs="Arial"/>
        </w:rPr>
        <w:t xml:space="preserve"> of </w:t>
      </w:r>
      <w:r w:rsidR="002D1BAA" w:rsidRPr="002D1BAA">
        <w:rPr>
          <w:rFonts w:ascii="Arial" w:hAnsi="Arial" w:cs="Arial"/>
        </w:rPr>
        <w:t>11.9</w:t>
      </w:r>
      <w:r w:rsidR="003944C1" w:rsidRPr="002D1BAA">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08E80473" w:rsidR="00C52357" w:rsidRDefault="00AB0FC9"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47FF6114" wp14:editId="49A6788B">
            <wp:extent cx="3758184" cy="2871216"/>
            <wp:effectExtent l="19050" t="19050" r="13970" b="2476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CTR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758184" cy="2871216"/>
                    </a:xfrm>
                    <a:prstGeom prst="rect">
                      <a:avLst/>
                    </a:prstGeom>
                    <a:ln>
                      <a:solidFill>
                        <a:schemeClr val="bg2">
                          <a:lumMod val="50000"/>
                        </a:schemeClr>
                      </a:solidFill>
                    </a:ln>
                  </pic:spPr>
                </pic:pic>
              </a:graphicData>
            </a:graphic>
          </wp:inline>
        </w:drawing>
      </w:r>
    </w:p>
    <w:p w14:paraId="497A16CA" w14:textId="6B08C473" w:rsidR="00C52357" w:rsidRDefault="00131B64" w:rsidP="007114A6">
      <w:pPr>
        <w:rPr>
          <w:rFonts w:ascii="Arial" w:eastAsia="Times New Roman" w:hAnsi="Arial" w:cs="Arial"/>
          <w:color w:val="000000"/>
        </w:rPr>
      </w:pPr>
      <w:r w:rsidRPr="00450965">
        <w:rPr>
          <w:rFonts w:ascii="Arial" w:eastAsia="Times New Roman" w:hAnsi="Arial" w:cs="Arial"/>
          <w:color w:val="000000"/>
        </w:rPr>
        <w:t xml:space="preserve">The </w:t>
      </w:r>
      <w:r w:rsidR="006E29D7" w:rsidRPr="00450965">
        <w:rPr>
          <w:rFonts w:ascii="Arial" w:eastAsia="Times New Roman" w:hAnsi="Arial" w:cs="Arial"/>
          <w:color w:val="000000"/>
        </w:rPr>
        <w:t>Learning Center</w:t>
      </w:r>
      <w:r w:rsidR="00E5416B" w:rsidRPr="00450965">
        <w:rPr>
          <w:rFonts w:ascii="Arial" w:eastAsia="Times New Roman" w:hAnsi="Arial" w:cs="Arial"/>
          <w:color w:val="000000"/>
        </w:rPr>
        <w:t xml:space="preserve"> </w:t>
      </w:r>
      <w:r w:rsidR="00450965" w:rsidRPr="00450965">
        <w:rPr>
          <w:rFonts w:ascii="Arial" w:eastAsia="Times New Roman" w:hAnsi="Arial" w:cs="Arial"/>
          <w:color w:val="000000"/>
        </w:rPr>
        <w:t>offered four more sections in the most recent academic year compared to five years ago</w:t>
      </w:r>
      <w:r w:rsidR="00450965">
        <w:rPr>
          <w:rFonts w:ascii="Arial" w:eastAsia="Times New Roman" w:hAnsi="Arial" w:cs="Arial"/>
          <w:color w:val="000000"/>
        </w:rPr>
        <w:t xml:space="preserve"> (30 and 26 sections, respectively)</w:t>
      </w:r>
      <w:r w:rsidR="00450965" w:rsidRPr="00450965">
        <w:rPr>
          <w:rFonts w:ascii="Arial" w:eastAsia="Times New Roman" w:hAnsi="Arial" w:cs="Arial"/>
          <w:color w:val="000000"/>
        </w:rPr>
        <w:t>.</w:t>
      </w:r>
    </w:p>
    <w:p w14:paraId="6859FE9B" w14:textId="77777777" w:rsidR="003944C1" w:rsidRDefault="003944C1" w:rsidP="007114A6">
      <w:pPr>
        <w:rPr>
          <w:rFonts w:ascii="Arial" w:eastAsia="Times New Roman" w:hAnsi="Arial" w:cs="Arial"/>
          <w:color w:val="000000"/>
        </w:rPr>
      </w:pPr>
    </w:p>
    <w:p w14:paraId="6BC9137B" w14:textId="6DAF4583" w:rsidR="007114A6" w:rsidRDefault="00AB0FC9" w:rsidP="007114A6">
      <w:r>
        <w:rPr>
          <w:noProof/>
        </w:rPr>
        <w:lastRenderedPageBreak/>
        <w:drawing>
          <wp:inline distT="0" distB="0" distL="0" distR="0" wp14:anchorId="780AA201" wp14:editId="0D169E0B">
            <wp:extent cx="3685032" cy="2624328"/>
            <wp:effectExtent l="19050" t="19050" r="10795" b="2413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CTR_FTEF.png"/>
                    <pic:cNvPicPr/>
                  </pic:nvPicPr>
                  <pic:blipFill>
                    <a:blip r:embed="rId12">
                      <a:extLst>
                        <a:ext uri="{28A0092B-C50C-407E-A947-70E740481C1C}">
                          <a14:useLocalDpi xmlns:a14="http://schemas.microsoft.com/office/drawing/2010/main" val="0"/>
                        </a:ext>
                      </a:extLst>
                    </a:blip>
                    <a:stretch>
                      <a:fillRect/>
                    </a:stretch>
                  </pic:blipFill>
                  <pic:spPr>
                    <a:xfrm>
                      <a:off x="0" y="0"/>
                      <a:ext cx="3685032" cy="2624328"/>
                    </a:xfrm>
                    <a:prstGeom prst="rect">
                      <a:avLst/>
                    </a:prstGeom>
                    <a:ln>
                      <a:solidFill>
                        <a:schemeClr val="bg2">
                          <a:lumMod val="50000"/>
                        </a:schemeClr>
                      </a:solidFill>
                    </a:ln>
                  </pic:spPr>
                </pic:pic>
              </a:graphicData>
            </a:graphic>
          </wp:inline>
        </w:drawing>
      </w:r>
    </w:p>
    <w:p w14:paraId="1BFD3632" w14:textId="78CA5F45" w:rsidR="00F40B7A" w:rsidRDefault="00131B64" w:rsidP="007114A6">
      <w:pPr>
        <w:rPr>
          <w:rFonts w:ascii="Arial" w:eastAsia="Times New Roman" w:hAnsi="Arial" w:cs="Arial"/>
          <w:color w:val="000000"/>
        </w:rPr>
      </w:pPr>
      <w:r w:rsidRPr="00450965">
        <w:rPr>
          <w:rFonts w:ascii="Arial" w:eastAsia="Times New Roman" w:hAnsi="Arial" w:cs="Arial"/>
          <w:color w:val="000000"/>
        </w:rPr>
        <w:t xml:space="preserve">The </w:t>
      </w:r>
      <w:r w:rsidR="00450965" w:rsidRPr="00450965">
        <w:rPr>
          <w:rFonts w:ascii="Arial" w:eastAsia="Times New Roman" w:hAnsi="Arial" w:cs="Arial"/>
          <w:color w:val="000000"/>
        </w:rPr>
        <w:t>number of</w:t>
      </w:r>
      <w:r w:rsidR="000C09EC" w:rsidRPr="00450965">
        <w:rPr>
          <w:rFonts w:ascii="Arial" w:eastAsia="Times New Roman" w:hAnsi="Arial" w:cs="Arial"/>
          <w:color w:val="000000"/>
        </w:rPr>
        <w:t xml:space="preserve"> full-time equivalent faculty (FTEF) </w:t>
      </w:r>
      <w:r w:rsidRPr="00450965">
        <w:rPr>
          <w:rFonts w:ascii="Arial" w:eastAsia="Times New Roman" w:hAnsi="Arial" w:cs="Arial"/>
          <w:color w:val="000000"/>
        </w:rPr>
        <w:t xml:space="preserve">in </w:t>
      </w:r>
      <w:r w:rsidR="00450965" w:rsidRPr="00450965">
        <w:rPr>
          <w:rFonts w:ascii="Arial" w:eastAsia="Times New Roman" w:hAnsi="Arial" w:cs="Arial"/>
          <w:color w:val="000000"/>
        </w:rPr>
        <w:t xml:space="preserve">the </w:t>
      </w:r>
      <w:r w:rsidR="006E29D7" w:rsidRPr="00450965">
        <w:rPr>
          <w:rFonts w:ascii="Arial" w:eastAsia="Times New Roman" w:hAnsi="Arial" w:cs="Arial"/>
          <w:color w:val="000000"/>
        </w:rPr>
        <w:t>Learning Center</w:t>
      </w:r>
      <w:r w:rsidR="003E1693" w:rsidRPr="00450965">
        <w:rPr>
          <w:rFonts w:ascii="Arial" w:eastAsia="Times New Roman" w:hAnsi="Arial" w:cs="Arial"/>
          <w:color w:val="000000"/>
        </w:rPr>
        <w:t xml:space="preserve"> </w:t>
      </w:r>
      <w:r w:rsidR="00450965" w:rsidRPr="00450965">
        <w:rPr>
          <w:rFonts w:ascii="Arial" w:eastAsia="Times New Roman" w:hAnsi="Arial" w:cs="Arial"/>
          <w:color w:val="000000"/>
        </w:rPr>
        <w:t>was zero for the last five academic years.</w:t>
      </w:r>
    </w:p>
    <w:p w14:paraId="33B35003" w14:textId="77777777" w:rsidR="009B57FF" w:rsidRDefault="009B57FF" w:rsidP="007114A6"/>
    <w:p w14:paraId="5C14CDD7" w14:textId="47CA0826" w:rsidR="00F40B7A" w:rsidRDefault="00AB0FC9" w:rsidP="007114A6">
      <w:r>
        <w:rPr>
          <w:noProof/>
        </w:rPr>
        <w:drawing>
          <wp:inline distT="0" distB="0" distL="0" distR="0" wp14:anchorId="2CA76329" wp14:editId="2249D161">
            <wp:extent cx="3675888" cy="2660904"/>
            <wp:effectExtent l="19050" t="19050" r="20320" b="254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CTR_Load.png"/>
                    <pic:cNvPicPr/>
                  </pic:nvPicPr>
                  <pic:blipFill>
                    <a:blip r:embed="rId13">
                      <a:extLst>
                        <a:ext uri="{28A0092B-C50C-407E-A947-70E740481C1C}">
                          <a14:useLocalDpi xmlns:a14="http://schemas.microsoft.com/office/drawing/2010/main" val="0"/>
                        </a:ext>
                      </a:extLst>
                    </a:blip>
                    <a:stretch>
                      <a:fillRect/>
                    </a:stretch>
                  </pic:blipFill>
                  <pic:spPr>
                    <a:xfrm>
                      <a:off x="0" y="0"/>
                      <a:ext cx="3675888" cy="2660904"/>
                    </a:xfrm>
                    <a:prstGeom prst="rect">
                      <a:avLst/>
                    </a:prstGeom>
                    <a:ln>
                      <a:solidFill>
                        <a:schemeClr val="bg2">
                          <a:lumMod val="50000"/>
                        </a:schemeClr>
                      </a:solidFill>
                    </a:ln>
                  </pic:spPr>
                </pic:pic>
              </a:graphicData>
            </a:graphic>
          </wp:inline>
        </w:drawing>
      </w:r>
    </w:p>
    <w:p w14:paraId="25299B5B" w14:textId="6F29604F" w:rsidR="00F40B7A" w:rsidRDefault="009B57FF" w:rsidP="007114A6">
      <w:r w:rsidRPr="00450965">
        <w:rPr>
          <w:rFonts w:ascii="Arial" w:eastAsia="Times New Roman" w:hAnsi="Arial" w:cs="Arial"/>
          <w:color w:val="000000"/>
        </w:rPr>
        <w:t>L</w:t>
      </w:r>
      <w:r w:rsidR="00E10268" w:rsidRPr="00450965">
        <w:rPr>
          <w:rFonts w:ascii="Arial" w:eastAsia="Times New Roman" w:hAnsi="Arial" w:cs="Arial"/>
          <w:color w:val="000000"/>
        </w:rPr>
        <w:t xml:space="preserve">oad </w:t>
      </w:r>
      <w:r w:rsidR="00131B64" w:rsidRPr="00450965">
        <w:rPr>
          <w:rFonts w:ascii="Arial" w:eastAsia="Times New Roman" w:hAnsi="Arial" w:cs="Arial"/>
          <w:color w:val="000000"/>
        </w:rPr>
        <w:t xml:space="preserve">in </w:t>
      </w:r>
      <w:r w:rsidR="00450965" w:rsidRPr="00450965">
        <w:rPr>
          <w:rFonts w:ascii="Arial" w:eastAsia="Times New Roman" w:hAnsi="Arial" w:cs="Arial"/>
          <w:color w:val="000000"/>
        </w:rPr>
        <w:t xml:space="preserve">the </w:t>
      </w:r>
      <w:r w:rsidR="006E29D7" w:rsidRPr="00450965">
        <w:rPr>
          <w:rFonts w:ascii="Arial" w:eastAsia="Times New Roman" w:hAnsi="Arial" w:cs="Arial"/>
          <w:color w:val="000000"/>
        </w:rPr>
        <w:t>Learning Center</w:t>
      </w:r>
      <w:r w:rsidR="00131B64" w:rsidRPr="00450965">
        <w:rPr>
          <w:rFonts w:ascii="Arial" w:eastAsia="Times New Roman" w:hAnsi="Arial" w:cs="Arial"/>
          <w:color w:val="000000"/>
        </w:rPr>
        <w:t xml:space="preserve"> </w:t>
      </w:r>
      <w:r w:rsidR="00450965" w:rsidRPr="00450965">
        <w:rPr>
          <w:rFonts w:ascii="Arial" w:eastAsia="Times New Roman" w:hAnsi="Arial" w:cs="Arial"/>
          <w:color w:val="000000"/>
        </w:rPr>
        <w:t>was zero for three academic years then 18-19 for the next two years</w:t>
      </w:r>
      <w:r w:rsidR="00131B64" w:rsidRPr="00450965">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2F5F8353" w:rsidR="008E1072" w:rsidRPr="00AB0ADB" w:rsidRDefault="00AB0FC9"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E3DD2C0" wp14:editId="27B50781">
            <wp:extent cx="3685032" cy="4069080"/>
            <wp:effectExtent l="19050" t="19050" r="10795" b="266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CTR_Success.png"/>
                    <pic:cNvPicPr/>
                  </pic:nvPicPr>
                  <pic:blipFill>
                    <a:blip r:embed="rId15">
                      <a:extLst>
                        <a:ext uri="{28A0092B-C50C-407E-A947-70E740481C1C}">
                          <a14:useLocalDpi xmlns:a14="http://schemas.microsoft.com/office/drawing/2010/main" val="0"/>
                        </a:ext>
                      </a:extLst>
                    </a:blip>
                    <a:stretch>
                      <a:fillRect/>
                    </a:stretch>
                  </pic:blipFill>
                  <pic:spPr>
                    <a:xfrm>
                      <a:off x="0" y="0"/>
                      <a:ext cx="3685032" cy="4069080"/>
                    </a:xfrm>
                    <a:prstGeom prst="rect">
                      <a:avLst/>
                    </a:prstGeom>
                    <a:ln>
                      <a:solidFill>
                        <a:schemeClr val="bg2">
                          <a:lumMod val="50000"/>
                        </a:schemeClr>
                      </a:solidFill>
                    </a:ln>
                  </pic:spPr>
                </pic:pic>
              </a:graphicData>
            </a:graphic>
          </wp:inline>
        </w:drawing>
      </w:r>
    </w:p>
    <w:p w14:paraId="184B3617" w14:textId="1E4862BE" w:rsidR="008E1072" w:rsidRDefault="00602FD9" w:rsidP="008E1072">
      <w:pPr>
        <w:spacing w:before="240" w:after="240" w:line="240" w:lineRule="auto"/>
        <w:rPr>
          <w:rFonts w:ascii="Arial" w:eastAsia="Times New Roman" w:hAnsi="Arial" w:cs="Arial"/>
          <w:color w:val="000000"/>
        </w:rPr>
      </w:pPr>
      <w:r w:rsidRPr="005221A6">
        <w:rPr>
          <w:rFonts w:ascii="Arial" w:eastAsia="Times New Roman" w:hAnsi="Arial" w:cs="Arial"/>
          <w:color w:val="000000"/>
        </w:rPr>
        <w:t>The o</w:t>
      </w:r>
      <w:r w:rsidR="008E1072" w:rsidRPr="005221A6">
        <w:rPr>
          <w:rFonts w:ascii="Arial" w:eastAsia="Times New Roman" w:hAnsi="Arial" w:cs="Arial"/>
          <w:color w:val="000000"/>
        </w:rPr>
        <w:t>verall success rate</w:t>
      </w:r>
      <w:r w:rsidRPr="005221A6">
        <w:rPr>
          <w:rFonts w:ascii="Arial" w:eastAsia="Times New Roman" w:hAnsi="Arial" w:cs="Arial"/>
          <w:color w:val="000000"/>
        </w:rPr>
        <w:t xml:space="preserve"> in </w:t>
      </w:r>
      <w:r w:rsidR="006E29D7" w:rsidRPr="005221A6">
        <w:rPr>
          <w:rFonts w:ascii="Arial" w:eastAsia="Times New Roman" w:hAnsi="Arial" w:cs="Arial"/>
          <w:color w:val="000000"/>
        </w:rPr>
        <w:t>Learning Center</w:t>
      </w:r>
      <w:r w:rsidR="008E1072" w:rsidRPr="005221A6">
        <w:rPr>
          <w:rFonts w:ascii="Arial" w:eastAsia="Times New Roman" w:hAnsi="Arial" w:cs="Arial"/>
          <w:color w:val="000000"/>
        </w:rPr>
        <w:t xml:space="preserve"> </w:t>
      </w:r>
      <w:r w:rsidR="00450965" w:rsidRPr="005221A6">
        <w:rPr>
          <w:rFonts w:ascii="Arial" w:eastAsia="Times New Roman" w:hAnsi="Arial" w:cs="Arial"/>
          <w:color w:val="000000"/>
        </w:rPr>
        <w:t>courses in</w:t>
      </w:r>
      <w:r w:rsidR="008E1072" w:rsidRPr="005221A6">
        <w:rPr>
          <w:rFonts w:ascii="Arial" w:eastAsia="Times New Roman" w:hAnsi="Arial" w:cs="Arial"/>
          <w:color w:val="000000"/>
        </w:rPr>
        <w:t xml:space="preserve">creased from </w:t>
      </w:r>
      <w:r w:rsidR="00450965" w:rsidRPr="005221A6">
        <w:rPr>
          <w:rFonts w:ascii="Arial" w:eastAsia="Times New Roman" w:hAnsi="Arial" w:cs="Arial"/>
          <w:color w:val="000000"/>
        </w:rPr>
        <w:t>44</w:t>
      </w:r>
      <w:r w:rsidR="008E1072" w:rsidRPr="005221A6">
        <w:rPr>
          <w:rFonts w:ascii="Arial" w:eastAsia="Times New Roman" w:hAnsi="Arial" w:cs="Arial"/>
          <w:color w:val="000000"/>
        </w:rPr>
        <w:t xml:space="preserve">% in 2018-2019 to </w:t>
      </w:r>
      <w:r w:rsidR="00450965" w:rsidRPr="005221A6">
        <w:rPr>
          <w:rFonts w:ascii="Arial" w:eastAsia="Times New Roman" w:hAnsi="Arial" w:cs="Arial"/>
          <w:color w:val="000000"/>
        </w:rPr>
        <w:t>55</w:t>
      </w:r>
      <w:r w:rsidR="008E1072" w:rsidRPr="005221A6">
        <w:rPr>
          <w:rFonts w:ascii="Arial" w:eastAsia="Times New Roman" w:hAnsi="Arial" w:cs="Arial"/>
          <w:color w:val="000000"/>
        </w:rPr>
        <w:t xml:space="preserve">% in </w:t>
      </w:r>
      <w:r w:rsidR="006A0BA5" w:rsidRPr="005221A6">
        <w:rPr>
          <w:rFonts w:ascii="Arial" w:eastAsia="Times New Roman" w:hAnsi="Arial" w:cs="Arial"/>
          <w:color w:val="000000"/>
        </w:rPr>
        <w:t>2022-2023</w:t>
      </w:r>
      <w:r w:rsidR="008E1072" w:rsidRPr="005221A6">
        <w:rPr>
          <w:rFonts w:ascii="Arial" w:eastAsia="Times New Roman" w:hAnsi="Arial" w:cs="Arial"/>
          <w:color w:val="000000"/>
        </w:rPr>
        <w:t xml:space="preserve">. </w:t>
      </w:r>
      <w:r w:rsidR="008C4779" w:rsidRPr="005221A6">
        <w:rPr>
          <w:rFonts w:ascii="Arial" w:eastAsia="Times New Roman" w:hAnsi="Arial" w:cs="Arial"/>
          <w:color w:val="000000"/>
        </w:rPr>
        <w:t>W</w:t>
      </w:r>
      <w:r w:rsidR="008E1072" w:rsidRPr="005221A6">
        <w:rPr>
          <w:rFonts w:ascii="Arial" w:eastAsia="Times New Roman" w:hAnsi="Arial" w:cs="Arial"/>
          <w:color w:val="000000"/>
        </w:rPr>
        <w:t xml:space="preserve">ithdraw rates </w:t>
      </w:r>
      <w:r w:rsidR="00450965" w:rsidRPr="005221A6">
        <w:rPr>
          <w:rFonts w:ascii="Arial" w:eastAsia="Times New Roman" w:hAnsi="Arial" w:cs="Arial"/>
          <w:color w:val="000000"/>
        </w:rPr>
        <w:t xml:space="preserve">in Learning Center </w:t>
      </w:r>
      <w:r w:rsidR="005221A6" w:rsidRPr="005221A6">
        <w:rPr>
          <w:rFonts w:ascii="Arial" w:eastAsia="Times New Roman" w:hAnsi="Arial" w:cs="Arial"/>
          <w:color w:val="000000"/>
        </w:rPr>
        <w:t>c</w:t>
      </w:r>
      <w:r w:rsidR="00450965" w:rsidRPr="005221A6">
        <w:rPr>
          <w:rFonts w:ascii="Arial" w:eastAsia="Times New Roman" w:hAnsi="Arial" w:cs="Arial"/>
          <w:color w:val="000000"/>
        </w:rPr>
        <w:t xml:space="preserve">ourses also increased from 10% in 2018-2019 to 22% in 2022-2023. While </w:t>
      </w:r>
      <w:r w:rsidR="005221A6" w:rsidRPr="005221A6">
        <w:rPr>
          <w:rFonts w:ascii="Arial" w:eastAsia="Times New Roman" w:hAnsi="Arial" w:cs="Arial"/>
          <w:color w:val="000000"/>
        </w:rPr>
        <w:t>a greater proportion of</w:t>
      </w:r>
      <w:r w:rsidR="00450965" w:rsidRPr="005221A6">
        <w:rPr>
          <w:rFonts w:ascii="Arial" w:eastAsia="Times New Roman" w:hAnsi="Arial" w:cs="Arial"/>
          <w:color w:val="000000"/>
        </w:rPr>
        <w:t xml:space="preserve"> students </w:t>
      </w:r>
      <w:r w:rsidR="005221A6" w:rsidRPr="005221A6">
        <w:rPr>
          <w:rFonts w:ascii="Arial" w:eastAsia="Times New Roman" w:hAnsi="Arial" w:cs="Arial"/>
          <w:color w:val="000000"/>
        </w:rPr>
        <w:t>in Learning Center courses were successful in the most recent academic year compared to the previous four years, a greater proportion also withdrew from the Learning Center courses in 2022-2023 (a five-year high).</w:t>
      </w:r>
    </w:p>
    <w:p w14:paraId="79D78A92" w14:textId="1B15A6DD"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00AB0FC9">
        <w:rPr>
          <w:rFonts w:ascii="Times New Roman" w:eastAsia="Times New Roman" w:hAnsi="Times New Roman" w:cs="Times New Roman"/>
          <w:noProof/>
        </w:rPr>
        <w:drawing>
          <wp:inline distT="0" distB="0" distL="0" distR="0" wp14:anchorId="28AF1EDD" wp14:editId="159C1514">
            <wp:extent cx="5943600" cy="4323715"/>
            <wp:effectExtent l="19050" t="19050" r="19050" b="196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CTR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323715"/>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39E96EC0" w14:textId="3E976BCD" w:rsidR="008E1072" w:rsidRDefault="00FC77AB" w:rsidP="008E1072">
      <w:pPr>
        <w:spacing w:before="240" w:after="240" w:line="240" w:lineRule="auto"/>
        <w:rPr>
          <w:rFonts w:ascii="Arial" w:eastAsia="Times New Roman" w:hAnsi="Arial" w:cs="Arial"/>
          <w:color w:val="000000"/>
        </w:rPr>
      </w:pPr>
      <w:r w:rsidRPr="005221A6">
        <w:rPr>
          <w:rFonts w:ascii="Arial" w:eastAsia="Times New Roman" w:hAnsi="Arial" w:cs="Arial"/>
          <w:color w:val="000000"/>
        </w:rPr>
        <w:t>Course s</w:t>
      </w:r>
      <w:r w:rsidR="008E1072" w:rsidRPr="005221A6">
        <w:rPr>
          <w:rFonts w:ascii="Arial" w:eastAsia="Times New Roman" w:hAnsi="Arial" w:cs="Arial"/>
          <w:color w:val="000000"/>
        </w:rPr>
        <w:t>uccess rates</w:t>
      </w:r>
      <w:r w:rsidRPr="005221A6">
        <w:rPr>
          <w:rFonts w:ascii="Arial" w:eastAsia="Times New Roman" w:hAnsi="Arial" w:cs="Arial"/>
          <w:color w:val="000000"/>
        </w:rPr>
        <w:t xml:space="preserve"> </w:t>
      </w:r>
      <w:r w:rsidR="00514BBA" w:rsidRPr="005221A6">
        <w:rPr>
          <w:rFonts w:ascii="Arial" w:eastAsia="Times New Roman" w:hAnsi="Arial" w:cs="Arial"/>
          <w:color w:val="000000"/>
        </w:rPr>
        <w:t xml:space="preserve">in </w:t>
      </w:r>
      <w:r w:rsidR="006E29D7" w:rsidRPr="005221A6">
        <w:rPr>
          <w:rFonts w:ascii="Arial" w:eastAsia="Times New Roman" w:hAnsi="Arial" w:cs="Arial"/>
          <w:color w:val="000000"/>
        </w:rPr>
        <w:t>Learning Center</w:t>
      </w:r>
      <w:r w:rsidR="005221A6" w:rsidRPr="005221A6">
        <w:rPr>
          <w:rFonts w:ascii="Arial" w:eastAsia="Times New Roman" w:hAnsi="Arial" w:cs="Arial"/>
          <w:color w:val="000000"/>
        </w:rPr>
        <w:t xml:space="preserve"> courses </w:t>
      </w:r>
      <w:r w:rsidR="008E1072" w:rsidRPr="005221A6">
        <w:rPr>
          <w:rFonts w:ascii="Arial" w:eastAsia="Times New Roman" w:hAnsi="Arial" w:cs="Arial"/>
          <w:color w:val="000000"/>
        </w:rPr>
        <w:t xml:space="preserve">ranged from </w:t>
      </w:r>
      <w:r w:rsidRPr="005221A6">
        <w:rPr>
          <w:rFonts w:ascii="Arial" w:eastAsia="Times New Roman" w:hAnsi="Arial" w:cs="Arial"/>
          <w:color w:val="000000"/>
        </w:rPr>
        <w:t xml:space="preserve">a minimum of </w:t>
      </w:r>
      <w:r w:rsidR="005221A6" w:rsidRPr="005221A6">
        <w:rPr>
          <w:rFonts w:ascii="Arial" w:eastAsia="Times New Roman" w:hAnsi="Arial" w:cs="Arial"/>
          <w:color w:val="000000"/>
        </w:rPr>
        <w:t>15</w:t>
      </w:r>
      <w:r w:rsidR="008E1072" w:rsidRPr="005221A6">
        <w:rPr>
          <w:rFonts w:ascii="Arial" w:eastAsia="Times New Roman" w:hAnsi="Arial" w:cs="Arial"/>
          <w:color w:val="000000"/>
        </w:rPr>
        <w:t xml:space="preserve">% in </w:t>
      </w:r>
      <w:r w:rsidR="005221A6" w:rsidRPr="005221A6">
        <w:rPr>
          <w:rFonts w:ascii="Arial" w:eastAsia="Times New Roman" w:hAnsi="Arial" w:cs="Arial"/>
          <w:color w:val="000000"/>
        </w:rPr>
        <w:t>LCTR</w:t>
      </w:r>
      <w:r w:rsidR="00514BBA" w:rsidRPr="005221A6">
        <w:rPr>
          <w:rFonts w:ascii="Arial" w:eastAsia="Times New Roman" w:hAnsi="Arial" w:cs="Arial"/>
          <w:color w:val="000000"/>
        </w:rPr>
        <w:t xml:space="preserve"> </w:t>
      </w:r>
      <w:r w:rsidR="005221A6" w:rsidRPr="005221A6">
        <w:rPr>
          <w:rFonts w:ascii="Arial" w:eastAsia="Times New Roman" w:hAnsi="Arial" w:cs="Arial"/>
          <w:color w:val="000000"/>
        </w:rPr>
        <w:t>843</w:t>
      </w:r>
      <w:r w:rsidR="008E1072" w:rsidRPr="005221A6">
        <w:rPr>
          <w:rFonts w:ascii="Arial" w:eastAsia="Times New Roman" w:hAnsi="Arial" w:cs="Arial"/>
          <w:color w:val="000000"/>
        </w:rPr>
        <w:t xml:space="preserve"> to a </w:t>
      </w:r>
      <w:r w:rsidRPr="005221A6">
        <w:rPr>
          <w:rFonts w:ascii="Arial" w:eastAsia="Times New Roman" w:hAnsi="Arial" w:cs="Arial"/>
          <w:color w:val="000000"/>
        </w:rPr>
        <w:t>maximum</w:t>
      </w:r>
      <w:r w:rsidR="008E1072" w:rsidRPr="005221A6">
        <w:rPr>
          <w:rFonts w:ascii="Arial" w:eastAsia="Times New Roman" w:hAnsi="Arial" w:cs="Arial"/>
          <w:color w:val="000000"/>
        </w:rPr>
        <w:t xml:space="preserve"> of </w:t>
      </w:r>
      <w:r w:rsidR="00514BBA" w:rsidRPr="005221A6">
        <w:rPr>
          <w:rFonts w:ascii="Arial" w:eastAsia="Times New Roman" w:hAnsi="Arial" w:cs="Arial"/>
          <w:color w:val="000000"/>
        </w:rPr>
        <w:t>74</w:t>
      </w:r>
      <w:r w:rsidR="008E1072" w:rsidRPr="005221A6">
        <w:rPr>
          <w:rFonts w:ascii="Arial" w:eastAsia="Times New Roman" w:hAnsi="Arial" w:cs="Arial"/>
          <w:color w:val="000000"/>
        </w:rPr>
        <w:t xml:space="preserve">% in </w:t>
      </w:r>
      <w:r w:rsidR="005221A6" w:rsidRPr="005221A6">
        <w:rPr>
          <w:rFonts w:ascii="Arial" w:eastAsia="Times New Roman" w:hAnsi="Arial" w:cs="Arial"/>
          <w:color w:val="000000"/>
        </w:rPr>
        <w:t>LCTR</w:t>
      </w:r>
      <w:r w:rsidR="008E1072" w:rsidRPr="005221A6">
        <w:rPr>
          <w:rFonts w:ascii="Arial" w:eastAsia="Times New Roman" w:hAnsi="Arial" w:cs="Arial"/>
          <w:color w:val="000000"/>
        </w:rPr>
        <w:t xml:space="preserve"> </w:t>
      </w:r>
      <w:r w:rsidR="00514BBA" w:rsidRPr="005221A6">
        <w:rPr>
          <w:rFonts w:ascii="Arial" w:eastAsia="Times New Roman" w:hAnsi="Arial" w:cs="Arial"/>
          <w:color w:val="000000"/>
        </w:rPr>
        <w:t>1</w:t>
      </w:r>
      <w:r w:rsidR="005221A6" w:rsidRPr="005221A6">
        <w:rPr>
          <w:rFonts w:ascii="Arial" w:eastAsia="Times New Roman" w:hAnsi="Arial" w:cs="Arial"/>
          <w:color w:val="000000"/>
        </w:rPr>
        <w:t>5</w:t>
      </w:r>
      <w:r w:rsidR="00514BBA" w:rsidRPr="005221A6">
        <w:rPr>
          <w:rFonts w:ascii="Arial" w:eastAsia="Times New Roman" w:hAnsi="Arial" w:cs="Arial"/>
          <w:color w:val="000000"/>
        </w:rPr>
        <w:t>1</w:t>
      </w:r>
      <w:r w:rsidR="008E1072" w:rsidRPr="005221A6">
        <w:rPr>
          <w:rFonts w:ascii="Arial" w:eastAsia="Times New Roman" w:hAnsi="Arial" w:cs="Arial"/>
          <w:color w:val="000000"/>
        </w:rPr>
        <w:t xml:space="preserve">. </w:t>
      </w:r>
      <w:r w:rsidRPr="005221A6">
        <w:rPr>
          <w:rFonts w:ascii="Arial" w:eastAsia="Times New Roman" w:hAnsi="Arial" w:cs="Arial"/>
          <w:color w:val="000000"/>
        </w:rPr>
        <w:t>W</w:t>
      </w:r>
      <w:r w:rsidR="008E1072" w:rsidRPr="005221A6">
        <w:rPr>
          <w:rFonts w:ascii="Arial" w:eastAsia="Times New Roman" w:hAnsi="Arial" w:cs="Arial"/>
          <w:color w:val="000000"/>
        </w:rPr>
        <w:t xml:space="preserve">ithdraw rates </w:t>
      </w:r>
      <w:r w:rsidR="00514BBA" w:rsidRPr="005221A6">
        <w:rPr>
          <w:rFonts w:ascii="Arial" w:eastAsia="Times New Roman" w:hAnsi="Arial" w:cs="Arial"/>
          <w:color w:val="000000"/>
        </w:rPr>
        <w:t xml:space="preserve">in </w:t>
      </w:r>
      <w:r w:rsidR="006E29D7" w:rsidRPr="005221A6">
        <w:rPr>
          <w:rFonts w:ascii="Arial" w:eastAsia="Times New Roman" w:hAnsi="Arial" w:cs="Arial"/>
          <w:color w:val="000000"/>
        </w:rPr>
        <w:t>Learning Center</w:t>
      </w:r>
      <w:r w:rsidR="005221A6" w:rsidRPr="005221A6">
        <w:rPr>
          <w:rFonts w:ascii="Arial" w:eastAsia="Times New Roman" w:hAnsi="Arial" w:cs="Arial"/>
          <w:color w:val="000000"/>
        </w:rPr>
        <w:t xml:space="preserve"> courses </w:t>
      </w:r>
      <w:r w:rsidR="008E1072" w:rsidRPr="005221A6">
        <w:rPr>
          <w:rFonts w:ascii="Arial" w:eastAsia="Times New Roman" w:hAnsi="Arial" w:cs="Arial"/>
          <w:color w:val="000000"/>
        </w:rPr>
        <w:t xml:space="preserve">ranged from a </w:t>
      </w:r>
      <w:r w:rsidRPr="005221A6">
        <w:rPr>
          <w:rFonts w:ascii="Arial" w:eastAsia="Times New Roman" w:hAnsi="Arial" w:cs="Arial"/>
          <w:color w:val="000000"/>
        </w:rPr>
        <w:t>max</w:t>
      </w:r>
      <w:r w:rsidR="008E1072" w:rsidRPr="005221A6">
        <w:rPr>
          <w:rFonts w:ascii="Arial" w:eastAsia="Times New Roman" w:hAnsi="Arial" w:cs="Arial"/>
          <w:color w:val="000000"/>
        </w:rPr>
        <w:t xml:space="preserve"> of </w:t>
      </w:r>
      <w:r w:rsidR="005221A6" w:rsidRPr="005221A6">
        <w:rPr>
          <w:rFonts w:ascii="Arial" w:eastAsia="Times New Roman" w:hAnsi="Arial" w:cs="Arial"/>
          <w:color w:val="000000"/>
        </w:rPr>
        <w:t>24</w:t>
      </w:r>
      <w:r w:rsidR="008E1072" w:rsidRPr="005221A6">
        <w:rPr>
          <w:rFonts w:ascii="Arial" w:eastAsia="Times New Roman" w:hAnsi="Arial" w:cs="Arial"/>
          <w:color w:val="000000"/>
        </w:rPr>
        <w:t xml:space="preserve">% </w:t>
      </w:r>
      <w:r w:rsidRPr="005221A6">
        <w:rPr>
          <w:rFonts w:ascii="Arial" w:eastAsia="Times New Roman" w:hAnsi="Arial" w:cs="Arial"/>
          <w:color w:val="000000"/>
        </w:rPr>
        <w:t>in</w:t>
      </w:r>
      <w:r w:rsidR="008E1072" w:rsidRPr="005221A6">
        <w:rPr>
          <w:rFonts w:ascii="Arial" w:eastAsia="Times New Roman" w:hAnsi="Arial" w:cs="Arial"/>
          <w:color w:val="000000"/>
        </w:rPr>
        <w:t xml:space="preserve"> </w:t>
      </w:r>
      <w:r w:rsidR="005221A6" w:rsidRPr="005221A6">
        <w:rPr>
          <w:rFonts w:ascii="Arial" w:eastAsia="Times New Roman" w:hAnsi="Arial" w:cs="Arial"/>
          <w:color w:val="000000"/>
        </w:rPr>
        <w:t>LCTR</w:t>
      </w:r>
      <w:r w:rsidR="00514BBA" w:rsidRPr="005221A6">
        <w:rPr>
          <w:rFonts w:ascii="Arial" w:eastAsia="Times New Roman" w:hAnsi="Arial" w:cs="Arial"/>
          <w:color w:val="000000"/>
        </w:rPr>
        <w:t xml:space="preserve"> 8</w:t>
      </w:r>
      <w:r w:rsidR="005221A6" w:rsidRPr="005221A6">
        <w:rPr>
          <w:rFonts w:ascii="Arial" w:eastAsia="Times New Roman" w:hAnsi="Arial" w:cs="Arial"/>
          <w:color w:val="000000"/>
        </w:rPr>
        <w:t>42</w:t>
      </w:r>
      <w:r w:rsidR="00514BBA" w:rsidRPr="005221A6">
        <w:rPr>
          <w:rFonts w:ascii="Arial" w:eastAsia="Times New Roman" w:hAnsi="Arial" w:cs="Arial"/>
          <w:color w:val="000000"/>
        </w:rPr>
        <w:t xml:space="preserve"> </w:t>
      </w:r>
      <w:r w:rsidR="005221A6" w:rsidRPr="005221A6">
        <w:rPr>
          <w:rFonts w:ascii="Arial" w:eastAsia="Times New Roman" w:hAnsi="Arial" w:cs="Arial"/>
          <w:color w:val="000000"/>
        </w:rPr>
        <w:t xml:space="preserve">(LCTR 698 was excluded) </w:t>
      </w:r>
      <w:r w:rsidR="008E1072" w:rsidRPr="005221A6">
        <w:rPr>
          <w:rFonts w:ascii="Arial" w:eastAsia="Times New Roman" w:hAnsi="Arial" w:cs="Arial"/>
          <w:color w:val="000000"/>
        </w:rPr>
        <w:t xml:space="preserve">to a </w:t>
      </w:r>
      <w:r w:rsidRPr="005221A6">
        <w:rPr>
          <w:rFonts w:ascii="Arial" w:eastAsia="Times New Roman" w:hAnsi="Arial" w:cs="Arial"/>
          <w:color w:val="000000"/>
        </w:rPr>
        <w:t>minimum</w:t>
      </w:r>
      <w:r w:rsidR="008E1072" w:rsidRPr="005221A6">
        <w:rPr>
          <w:rFonts w:ascii="Arial" w:eastAsia="Times New Roman" w:hAnsi="Arial" w:cs="Arial"/>
          <w:color w:val="000000"/>
        </w:rPr>
        <w:t xml:space="preserve"> of </w:t>
      </w:r>
      <w:r w:rsidR="005221A6" w:rsidRPr="005221A6">
        <w:rPr>
          <w:rFonts w:ascii="Arial" w:eastAsia="Times New Roman" w:hAnsi="Arial" w:cs="Arial"/>
          <w:color w:val="000000"/>
        </w:rPr>
        <w:t>5</w:t>
      </w:r>
      <w:r w:rsidR="008E1072" w:rsidRPr="005221A6">
        <w:rPr>
          <w:rFonts w:ascii="Arial" w:eastAsia="Times New Roman" w:hAnsi="Arial" w:cs="Arial"/>
          <w:color w:val="000000"/>
        </w:rPr>
        <w:t xml:space="preserve">% </w:t>
      </w:r>
      <w:r w:rsidRPr="005221A6">
        <w:rPr>
          <w:rFonts w:ascii="Arial" w:eastAsia="Times New Roman" w:hAnsi="Arial" w:cs="Arial"/>
          <w:color w:val="000000"/>
        </w:rPr>
        <w:t>in</w:t>
      </w:r>
      <w:r w:rsidR="008E1072" w:rsidRPr="005221A6">
        <w:rPr>
          <w:rFonts w:ascii="Arial" w:eastAsia="Times New Roman" w:hAnsi="Arial" w:cs="Arial"/>
          <w:color w:val="000000"/>
        </w:rPr>
        <w:t xml:space="preserve"> </w:t>
      </w:r>
      <w:r w:rsidR="005221A6" w:rsidRPr="005221A6">
        <w:rPr>
          <w:rFonts w:ascii="Arial" w:eastAsia="Times New Roman" w:hAnsi="Arial" w:cs="Arial"/>
          <w:color w:val="000000"/>
        </w:rPr>
        <w:t>LCTR 841</w:t>
      </w:r>
      <w:r w:rsidR="008E1072" w:rsidRPr="005221A6">
        <w:rPr>
          <w:rFonts w:ascii="Arial" w:eastAsia="Times New Roman" w:hAnsi="Arial" w:cs="Arial"/>
          <w:color w:val="000000"/>
        </w:rPr>
        <w:t>.</w:t>
      </w:r>
      <w:r w:rsidR="00514BBA" w:rsidRPr="005221A6">
        <w:rPr>
          <w:rFonts w:ascii="Arial" w:eastAsia="Times New Roman" w:hAnsi="Arial" w:cs="Arial"/>
          <w:color w:val="000000"/>
        </w:rPr>
        <w:t xml:space="preserve"> </w:t>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280C931A"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in</w:t>
      </w:r>
      <w:r w:rsidR="005221A6">
        <w:rPr>
          <w:rFonts w:ascii="Arial" w:eastAsia="Times New Roman" w:hAnsi="Arial" w:cs="Arial"/>
        </w:rPr>
        <w:t xml:space="preserve"> Learning Center courses </w:t>
      </w:r>
      <w:r w:rsidR="00B90196">
        <w:rPr>
          <w:rFonts w:ascii="Arial" w:eastAsia="Times New Roman" w:hAnsi="Arial" w:cs="Arial"/>
        </w:rPr>
        <w:t>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21585C">
        <w:rPr>
          <w:rFonts w:ascii="Arial" w:eastAsia="Times New Roman" w:hAnsi="Arial" w:cs="Arial"/>
          <w:color w:val="000000"/>
        </w:rPr>
        <w:t xml:space="preserve">in </w:t>
      </w:r>
      <w:r w:rsidR="005221A6" w:rsidRPr="005221A6">
        <w:rPr>
          <w:rFonts w:ascii="Arial" w:eastAsia="Times New Roman" w:hAnsi="Arial" w:cs="Arial"/>
          <w:color w:val="000000"/>
        </w:rPr>
        <w:t>Learning Center</w:t>
      </w:r>
      <w:r w:rsidR="0021585C">
        <w:rPr>
          <w:rFonts w:ascii="Arial" w:eastAsia="Times New Roman" w:hAnsi="Arial" w:cs="Arial"/>
          <w:color w:val="000000"/>
        </w:rPr>
        <w:t xml:space="preserve"> </w:t>
      </w:r>
      <w:r w:rsidR="005221A6">
        <w:rPr>
          <w:rFonts w:ascii="Arial" w:eastAsia="Times New Roman" w:hAnsi="Arial" w:cs="Arial"/>
          <w:color w:val="000000"/>
        </w:rPr>
        <w:t xml:space="preserve">courses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 xml:space="preserve"> (see Table 1-3).</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5B48B953" w14:textId="22CCABA9" w:rsidR="00660FB7" w:rsidRPr="00271D10" w:rsidRDefault="00071FE1" w:rsidP="00660FB7">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 xml:space="preserve">Enrollment data </w:t>
      </w:r>
      <w:r w:rsidR="002B12AF" w:rsidRPr="007B1DE4">
        <w:rPr>
          <w:rFonts w:ascii="Arial" w:eastAsia="Times New Roman" w:hAnsi="Arial" w:cs="Arial"/>
        </w:rPr>
        <w:t xml:space="preserve">revealed </w:t>
      </w:r>
      <w:r w:rsidR="007B1DE4" w:rsidRPr="007B1DE4">
        <w:rPr>
          <w:rFonts w:ascii="Arial" w:eastAsia="Times New Roman" w:hAnsi="Arial" w:cs="Arial"/>
        </w:rPr>
        <w:t>one</w:t>
      </w:r>
      <w:r w:rsidR="00E579CF" w:rsidRPr="007B1DE4">
        <w:rPr>
          <w:rFonts w:ascii="Arial" w:eastAsia="Times New Roman" w:hAnsi="Arial" w:cs="Arial"/>
        </w:rPr>
        <w:t xml:space="preserve"> </w:t>
      </w:r>
      <w:r w:rsidR="006D0A06" w:rsidRPr="007B1DE4">
        <w:rPr>
          <w:rFonts w:ascii="Arial" w:eastAsia="Times New Roman" w:hAnsi="Arial" w:cs="Arial"/>
        </w:rPr>
        <w:t>student</w:t>
      </w:r>
      <w:r w:rsidR="006D0A06" w:rsidRPr="001F284B">
        <w:rPr>
          <w:rFonts w:ascii="Arial" w:eastAsia="Times New Roman" w:hAnsi="Arial" w:cs="Arial"/>
        </w:rPr>
        <w:t xml:space="preserve"> </w:t>
      </w:r>
      <w:r w:rsidR="00E579CF" w:rsidRPr="001F284B">
        <w:rPr>
          <w:rFonts w:ascii="Arial" w:eastAsia="Times New Roman" w:hAnsi="Arial" w:cs="Arial"/>
        </w:rPr>
        <w:t>sub</w:t>
      </w:r>
      <w:r w:rsidR="006D0A06" w:rsidRPr="001F284B">
        <w:rPr>
          <w:rFonts w:ascii="Arial" w:eastAsia="Times New Roman" w:hAnsi="Arial" w:cs="Arial"/>
        </w:rPr>
        <w:t>group</w:t>
      </w:r>
      <w:r w:rsidR="00E579CF" w:rsidRPr="001F284B">
        <w:rPr>
          <w:rFonts w:ascii="Arial" w:eastAsia="Times New Roman" w:hAnsi="Arial" w:cs="Arial"/>
        </w:rPr>
        <w:t xml:space="preserve"> </w:t>
      </w:r>
      <w:r w:rsidR="003737AB">
        <w:rPr>
          <w:rFonts w:ascii="Arial" w:eastAsia="Times New Roman" w:hAnsi="Arial" w:cs="Arial"/>
        </w:rPr>
        <w:t>w</w:t>
      </w:r>
      <w:r w:rsidR="007B1DE4">
        <w:rPr>
          <w:rFonts w:ascii="Arial" w:eastAsia="Times New Roman" w:hAnsi="Arial" w:cs="Arial"/>
        </w:rPr>
        <w:t>as</w:t>
      </w:r>
      <w:r w:rsidR="003737AB">
        <w:rPr>
          <w:rFonts w:ascii="Arial" w:eastAsia="Times New Roman" w:hAnsi="Arial" w:cs="Arial"/>
        </w:rPr>
        <w:t xml:space="preserve"> </w:t>
      </w:r>
      <w:r w:rsidR="00E579CF" w:rsidRPr="001F284B">
        <w:rPr>
          <w:rFonts w:ascii="Arial" w:eastAsia="Times New Roman" w:hAnsi="Arial" w:cs="Arial"/>
        </w:rPr>
        <w:t>underrepresented in</w:t>
      </w:r>
      <w:r w:rsidR="007B1DE4">
        <w:rPr>
          <w:rFonts w:ascii="Arial" w:eastAsia="Times New Roman" w:hAnsi="Arial" w:cs="Arial"/>
        </w:rPr>
        <w:t xml:space="preserve"> Learning Center</w:t>
      </w:r>
      <w:r w:rsidRPr="001F284B">
        <w:rPr>
          <w:rFonts w:ascii="Arial" w:eastAsia="Times New Roman" w:hAnsi="Arial" w:cs="Arial"/>
        </w:rPr>
        <w:t xml:space="preserve"> </w:t>
      </w:r>
      <w:r w:rsidR="00E579CF" w:rsidRPr="001F284B">
        <w:rPr>
          <w:rFonts w:ascii="Arial" w:eastAsia="Times New Roman" w:hAnsi="Arial" w:cs="Arial"/>
        </w:rPr>
        <w:t>classes</w:t>
      </w:r>
      <w:r w:rsidR="00D63818" w:rsidRPr="001F284B">
        <w:rPr>
          <w:rFonts w:ascii="Arial" w:eastAsia="Times New Roman" w:hAnsi="Arial" w:cs="Arial"/>
        </w:rPr>
        <w:t xml:space="preserve"> 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2B12AF" w:rsidRPr="007B1DE4">
        <w:rPr>
          <w:rFonts w:ascii="Arial" w:eastAsia="Times New Roman" w:hAnsi="Arial" w:cs="Arial"/>
        </w:rPr>
        <w:t>)</w:t>
      </w:r>
      <w:r w:rsidR="006D0A06" w:rsidRPr="007B1DE4">
        <w:rPr>
          <w:rFonts w:ascii="Arial" w:eastAsia="Times New Roman" w:hAnsi="Arial" w:cs="Arial"/>
        </w:rPr>
        <w:t xml:space="preserve">. </w:t>
      </w:r>
      <w:r w:rsidR="007B1DE4" w:rsidRPr="007B1DE4">
        <w:rPr>
          <w:rFonts w:ascii="Arial" w:eastAsia="Times New Roman" w:hAnsi="Arial" w:cs="Arial"/>
        </w:rPr>
        <w:t>T</w:t>
      </w:r>
      <w:r w:rsidR="00660FB7" w:rsidRPr="007B1DE4">
        <w:rPr>
          <w:rFonts w:ascii="Arial" w:eastAsia="Times New Roman" w:hAnsi="Arial" w:cs="Arial"/>
        </w:rPr>
        <w:t xml:space="preserve">he proportion of students in </w:t>
      </w:r>
      <w:r w:rsidR="006E29D7" w:rsidRPr="007B1DE4">
        <w:rPr>
          <w:rFonts w:ascii="Arial" w:eastAsia="Times New Roman" w:hAnsi="Arial" w:cs="Arial"/>
        </w:rPr>
        <w:t>Learning Center</w:t>
      </w:r>
      <w:r w:rsidR="007B1DE4" w:rsidRPr="007B1DE4">
        <w:rPr>
          <w:rFonts w:ascii="Arial" w:eastAsia="Times New Roman" w:hAnsi="Arial" w:cs="Arial"/>
        </w:rPr>
        <w:t xml:space="preserve"> courses </w:t>
      </w:r>
      <w:r w:rsidR="00660FB7" w:rsidRPr="007B1DE4">
        <w:rPr>
          <w:rFonts w:ascii="Arial" w:eastAsia="Times New Roman" w:hAnsi="Arial" w:cs="Arial"/>
        </w:rPr>
        <w:t xml:space="preserve">with a </w:t>
      </w:r>
      <w:r w:rsidR="007B1DE4" w:rsidRPr="007B1DE4">
        <w:rPr>
          <w:rFonts w:ascii="Arial" w:eastAsia="Times New Roman" w:hAnsi="Arial" w:cs="Arial"/>
        </w:rPr>
        <w:t xml:space="preserve">total </w:t>
      </w:r>
      <w:r w:rsidR="00660FB7" w:rsidRPr="007B1DE4">
        <w:rPr>
          <w:rFonts w:ascii="Arial" w:eastAsia="Times New Roman" w:hAnsi="Arial" w:cs="Arial"/>
        </w:rPr>
        <w:t xml:space="preserve">unit load considered ‘less than part-time’ (fewer than 6 units) was </w:t>
      </w:r>
      <w:r w:rsidR="007B1DE4" w:rsidRPr="007B1DE4">
        <w:rPr>
          <w:rFonts w:ascii="Arial" w:eastAsia="Times New Roman" w:hAnsi="Arial" w:cs="Arial"/>
        </w:rPr>
        <w:t>14</w:t>
      </w:r>
      <w:r w:rsidR="00660FB7" w:rsidRPr="007B1DE4">
        <w:rPr>
          <w:rFonts w:ascii="Arial" w:eastAsia="Times New Roman" w:hAnsi="Arial" w:cs="Arial"/>
        </w:rPr>
        <w:t xml:space="preserve"> percentage points lower than the proportion of ‘less than part-time’ students enrolled college-wide.</w:t>
      </w:r>
    </w:p>
    <w:p w14:paraId="4ACBCF4A" w14:textId="433ECCEF" w:rsidR="00D757CF" w:rsidRDefault="006D0A06" w:rsidP="00660FB7">
      <w:pPr>
        <w:spacing w:line="276" w:lineRule="auto"/>
        <w:rPr>
          <w:rFonts w:ascii="Arial" w:eastAsia="Times New Roman" w:hAnsi="Arial" w:cs="Arial"/>
          <w:color w:val="000000"/>
        </w:rPr>
      </w:pPr>
      <w:r w:rsidRPr="00B90196">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7B1DE4" w14:paraId="13F15B17" w14:textId="376452E0" w:rsidTr="007B1DE4">
        <w:tc>
          <w:tcPr>
            <w:tcW w:w="5665" w:type="dxa"/>
            <w:shd w:val="clear" w:color="auto" w:fill="auto"/>
            <w:vAlign w:val="center"/>
          </w:tcPr>
          <w:p w14:paraId="769EFC41" w14:textId="17903AC8" w:rsidR="001C74E4" w:rsidRPr="007B1DE4" w:rsidRDefault="001C74E4" w:rsidP="000B759A">
            <w:pPr>
              <w:rPr>
                <w:rFonts w:ascii="Arial" w:eastAsia="Times New Roman" w:hAnsi="Arial" w:cs="Arial"/>
                <w:b/>
                <w:color w:val="000000"/>
              </w:rPr>
            </w:pPr>
            <w:r w:rsidRPr="007B1DE4">
              <w:rPr>
                <w:rFonts w:ascii="Arial" w:eastAsia="Times New Roman" w:hAnsi="Arial" w:cs="Arial"/>
                <w:b/>
                <w:color w:val="000000"/>
              </w:rPr>
              <w:t>Student Subgroup</w:t>
            </w:r>
          </w:p>
        </w:tc>
        <w:tc>
          <w:tcPr>
            <w:tcW w:w="1260" w:type="dxa"/>
            <w:shd w:val="clear" w:color="auto" w:fill="auto"/>
            <w:vAlign w:val="center"/>
          </w:tcPr>
          <w:p w14:paraId="4C40416C" w14:textId="0277AF7D" w:rsidR="001C74E4" w:rsidRPr="007B1DE4" w:rsidRDefault="001C74E4" w:rsidP="000B759A">
            <w:pPr>
              <w:jc w:val="right"/>
              <w:rPr>
                <w:rFonts w:ascii="Arial" w:eastAsia="Times New Roman" w:hAnsi="Arial" w:cs="Arial"/>
                <w:b/>
                <w:color w:val="000000"/>
              </w:rPr>
            </w:pPr>
            <w:r w:rsidRPr="007B1DE4">
              <w:rPr>
                <w:rFonts w:ascii="Arial" w:eastAsia="Times New Roman" w:hAnsi="Arial" w:cs="Arial"/>
                <w:b/>
                <w:color w:val="000000"/>
              </w:rPr>
              <w:t>Gap</w:t>
            </w:r>
          </w:p>
        </w:tc>
      </w:tr>
      <w:tr w:rsidR="001C74E4" w:rsidRPr="007B1DE4" w14:paraId="77B6D350" w14:textId="17ACF87D" w:rsidTr="007B1DE4">
        <w:tc>
          <w:tcPr>
            <w:tcW w:w="5665" w:type="dxa"/>
            <w:shd w:val="clear" w:color="auto" w:fill="auto"/>
            <w:vAlign w:val="center"/>
          </w:tcPr>
          <w:p w14:paraId="1611C034" w14:textId="2D8D2A68" w:rsidR="001C74E4" w:rsidRPr="007B1DE4" w:rsidRDefault="001C74E4" w:rsidP="000B759A">
            <w:pPr>
              <w:rPr>
                <w:rFonts w:ascii="Arial" w:eastAsia="Times New Roman" w:hAnsi="Arial" w:cs="Arial"/>
                <w:color w:val="000000"/>
              </w:rPr>
            </w:pPr>
            <w:r w:rsidRPr="007B1DE4">
              <w:rPr>
                <w:rFonts w:ascii="Arial" w:eastAsia="Times New Roman" w:hAnsi="Arial" w:cs="Arial"/>
                <w:color w:val="000000"/>
              </w:rPr>
              <w:t xml:space="preserve">Unit </w:t>
            </w:r>
            <w:r w:rsidR="007B1DE4">
              <w:rPr>
                <w:rFonts w:ascii="Arial" w:eastAsia="Times New Roman" w:hAnsi="Arial" w:cs="Arial"/>
                <w:color w:val="000000"/>
              </w:rPr>
              <w:t>L</w:t>
            </w:r>
            <w:r w:rsidRPr="007B1DE4">
              <w:rPr>
                <w:rFonts w:ascii="Arial" w:eastAsia="Times New Roman" w:hAnsi="Arial" w:cs="Arial"/>
                <w:color w:val="000000"/>
              </w:rPr>
              <w:t>oad</w:t>
            </w:r>
            <w:r w:rsidR="007B1DE4">
              <w:rPr>
                <w:rFonts w:ascii="Arial" w:eastAsia="Times New Roman" w:hAnsi="Arial" w:cs="Arial"/>
                <w:color w:val="000000"/>
              </w:rPr>
              <w:t>:</w:t>
            </w:r>
            <w:r w:rsidRPr="007B1DE4">
              <w:rPr>
                <w:rFonts w:ascii="Arial" w:eastAsia="Times New Roman" w:hAnsi="Arial" w:cs="Arial"/>
                <w:color w:val="000000"/>
              </w:rPr>
              <w:t xml:space="preserve"> Less than part-time (</w:t>
            </w:r>
            <w:r w:rsidR="00245E0D" w:rsidRPr="007B1DE4">
              <w:rPr>
                <w:rFonts w:ascii="Arial" w:eastAsia="Times New Roman" w:hAnsi="Arial" w:cs="Arial"/>
                <w:color w:val="000000"/>
              </w:rPr>
              <w:t>l</w:t>
            </w:r>
            <w:r w:rsidRPr="007B1DE4">
              <w:rPr>
                <w:rFonts w:ascii="Arial" w:eastAsia="Times New Roman" w:hAnsi="Arial" w:cs="Arial"/>
                <w:color w:val="000000"/>
              </w:rPr>
              <w:t>ess than 6 units)</w:t>
            </w:r>
          </w:p>
        </w:tc>
        <w:tc>
          <w:tcPr>
            <w:tcW w:w="1260" w:type="dxa"/>
            <w:shd w:val="clear" w:color="auto" w:fill="auto"/>
            <w:vAlign w:val="center"/>
          </w:tcPr>
          <w:p w14:paraId="42075957" w14:textId="7A010810" w:rsidR="001C74E4" w:rsidRPr="007B1DE4" w:rsidRDefault="001C74E4" w:rsidP="001E7537">
            <w:pPr>
              <w:jc w:val="right"/>
              <w:rPr>
                <w:rFonts w:ascii="Arial" w:eastAsia="Times New Roman" w:hAnsi="Arial" w:cs="Arial"/>
                <w:color w:val="000000"/>
              </w:rPr>
            </w:pPr>
            <w:r w:rsidRPr="007B1DE4">
              <w:rPr>
                <w:rFonts w:ascii="Arial" w:eastAsia="Times New Roman" w:hAnsi="Arial" w:cs="Arial"/>
                <w:color w:val="000000"/>
              </w:rPr>
              <w:t>-</w:t>
            </w:r>
            <w:r w:rsidR="007B1DE4" w:rsidRPr="007B1DE4">
              <w:rPr>
                <w:rFonts w:ascii="Arial" w:eastAsia="Times New Roman" w:hAnsi="Arial" w:cs="Arial"/>
                <w:color w:val="000000"/>
              </w:rPr>
              <w:t>14.0</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1FB8AF63" w14:textId="3CA3156F" w:rsidR="005F1CBB" w:rsidRPr="007B1DE4"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w:t>
      </w:r>
      <w:r w:rsidR="00F30875" w:rsidRPr="007B1DE4">
        <w:rPr>
          <w:rFonts w:ascii="Arial" w:eastAsia="Times New Roman" w:hAnsi="Arial" w:cs="Arial"/>
          <w:color w:val="000000"/>
        </w:rPr>
        <w:t xml:space="preserve">different subgroups </w:t>
      </w:r>
      <w:r w:rsidR="0021585C" w:rsidRPr="007B1DE4">
        <w:rPr>
          <w:rFonts w:ascii="Arial" w:eastAsia="Times New Roman" w:hAnsi="Arial" w:cs="Arial"/>
          <w:color w:val="000000"/>
        </w:rPr>
        <w:t xml:space="preserve">in </w:t>
      </w:r>
      <w:r w:rsidR="007B1DE4" w:rsidRPr="007B1DE4">
        <w:rPr>
          <w:rFonts w:ascii="Arial" w:eastAsia="Times New Roman" w:hAnsi="Arial" w:cs="Arial"/>
          <w:color w:val="000000"/>
        </w:rPr>
        <w:t xml:space="preserve">Learning Center courses </w:t>
      </w:r>
      <w:r w:rsidR="00F30875" w:rsidRPr="007B1DE4">
        <w:rPr>
          <w:rFonts w:ascii="Arial" w:eastAsia="Times New Roman" w:hAnsi="Arial" w:cs="Arial"/>
          <w:color w:val="000000"/>
        </w:rPr>
        <w:t xml:space="preserve">was compared to the overall success rate in </w:t>
      </w:r>
      <w:r w:rsidR="007B1DE4" w:rsidRPr="007B1DE4">
        <w:rPr>
          <w:rFonts w:ascii="Arial" w:eastAsia="Times New Roman" w:hAnsi="Arial" w:cs="Arial"/>
          <w:color w:val="000000"/>
        </w:rPr>
        <w:t>the Learning Center</w:t>
      </w:r>
      <w:r w:rsidR="0021585C" w:rsidRPr="007B1DE4">
        <w:rPr>
          <w:rFonts w:ascii="Arial" w:eastAsia="Times New Roman" w:hAnsi="Arial" w:cs="Arial"/>
          <w:color w:val="000000"/>
        </w:rPr>
        <w:t>. T</w:t>
      </w:r>
      <w:r w:rsidR="00F30875" w:rsidRPr="007B1DE4">
        <w:rPr>
          <w:rFonts w:ascii="Arial" w:eastAsia="Times New Roman" w:hAnsi="Arial" w:cs="Arial"/>
          <w:color w:val="000000"/>
        </w:rPr>
        <w:t xml:space="preserve">he difference </w:t>
      </w:r>
      <w:r w:rsidR="0021585C" w:rsidRPr="007B1DE4">
        <w:rPr>
          <w:rFonts w:ascii="Arial" w:eastAsia="Times New Roman" w:hAnsi="Arial" w:cs="Arial"/>
          <w:color w:val="000000"/>
        </w:rPr>
        <w:t xml:space="preserve">between the two rates </w:t>
      </w:r>
      <w:r w:rsidR="00F30875" w:rsidRPr="007B1DE4">
        <w:rPr>
          <w:rFonts w:ascii="Arial" w:eastAsia="Times New Roman" w:hAnsi="Arial" w:cs="Arial"/>
          <w:color w:val="000000"/>
        </w:rPr>
        <w:t>(</w:t>
      </w:r>
      <w:r w:rsidR="0021585C" w:rsidRPr="007B1DE4">
        <w:rPr>
          <w:rFonts w:ascii="Arial" w:eastAsia="Times New Roman" w:hAnsi="Arial" w:cs="Arial"/>
          <w:color w:val="000000"/>
        </w:rPr>
        <w:t>the</w:t>
      </w:r>
      <w:r w:rsidR="00F30875" w:rsidRPr="007B1DE4">
        <w:rPr>
          <w:rFonts w:ascii="Arial" w:eastAsia="Times New Roman" w:hAnsi="Arial" w:cs="Arial"/>
          <w:color w:val="000000"/>
        </w:rPr>
        <w:t xml:space="preserve"> gap) </w:t>
      </w:r>
      <w:r w:rsidR="003737AB" w:rsidRPr="007B1DE4">
        <w:rPr>
          <w:rFonts w:ascii="Arial" w:eastAsia="Times New Roman" w:hAnsi="Arial" w:cs="Arial"/>
          <w:color w:val="000000"/>
        </w:rPr>
        <w:t xml:space="preserve">revealed </w:t>
      </w:r>
      <w:r w:rsidR="007B1DE4">
        <w:rPr>
          <w:rFonts w:ascii="Arial" w:eastAsia="Times New Roman" w:hAnsi="Arial" w:cs="Arial"/>
          <w:color w:val="000000"/>
        </w:rPr>
        <w:t>two</w:t>
      </w:r>
      <w:r w:rsidR="007B1DE4" w:rsidRPr="007B1DE4">
        <w:rPr>
          <w:rFonts w:ascii="Arial" w:eastAsia="Times New Roman" w:hAnsi="Arial" w:cs="Arial"/>
          <w:color w:val="000000"/>
        </w:rPr>
        <w:t xml:space="preserve"> </w:t>
      </w:r>
      <w:r w:rsidR="003737AB" w:rsidRPr="007B1DE4">
        <w:rPr>
          <w:rFonts w:ascii="Arial" w:eastAsia="Times New Roman" w:hAnsi="Arial" w:cs="Arial"/>
          <w:color w:val="000000"/>
        </w:rPr>
        <w:t xml:space="preserve">subgroups may have been </w:t>
      </w:r>
      <w:r w:rsidR="00F30875" w:rsidRPr="007B1DE4">
        <w:rPr>
          <w:rFonts w:ascii="Arial" w:eastAsia="Times New Roman" w:hAnsi="Arial" w:cs="Arial"/>
          <w:color w:val="000000"/>
        </w:rPr>
        <w:t>disproportionately impacted</w:t>
      </w:r>
      <w:r w:rsidR="003737AB" w:rsidRPr="007B1DE4">
        <w:rPr>
          <w:rFonts w:ascii="Arial" w:eastAsia="Times New Roman" w:hAnsi="Arial" w:cs="Arial"/>
          <w:color w:val="000000"/>
        </w:rPr>
        <w:t xml:space="preserve"> (see Table 2)</w:t>
      </w:r>
      <w:r w:rsidR="00F30875" w:rsidRPr="007B1DE4">
        <w:rPr>
          <w:rFonts w:ascii="Arial" w:eastAsia="Times New Roman" w:hAnsi="Arial" w:cs="Arial"/>
          <w:color w:val="000000"/>
        </w:rPr>
        <w:t>.</w:t>
      </w:r>
      <w:r w:rsidR="003737AB" w:rsidRPr="007B1DE4">
        <w:rPr>
          <w:rFonts w:ascii="Arial" w:eastAsia="Times New Roman" w:hAnsi="Arial" w:cs="Arial"/>
          <w:color w:val="000000"/>
        </w:rPr>
        <w:t xml:space="preserve"> </w:t>
      </w:r>
      <w:r w:rsidR="007B1DE4">
        <w:rPr>
          <w:rFonts w:ascii="Arial" w:eastAsia="Times New Roman" w:hAnsi="Arial" w:cs="Arial"/>
          <w:color w:val="000000"/>
        </w:rPr>
        <w:t>T</w:t>
      </w:r>
      <w:r w:rsidR="003737AB" w:rsidRPr="007B1DE4">
        <w:rPr>
          <w:rFonts w:ascii="Arial" w:eastAsia="Times New Roman" w:hAnsi="Arial" w:cs="Arial"/>
          <w:color w:val="000000"/>
        </w:rPr>
        <w:t xml:space="preserve">he success rate for </w:t>
      </w:r>
      <w:r w:rsidR="007B1DE4">
        <w:rPr>
          <w:rFonts w:ascii="Arial" w:eastAsia="Times New Roman" w:hAnsi="Arial" w:cs="Arial"/>
          <w:color w:val="000000"/>
        </w:rPr>
        <w:t xml:space="preserve">students age 23 – 28 </w:t>
      </w:r>
      <w:r w:rsidR="003737AB" w:rsidRPr="007B1DE4">
        <w:rPr>
          <w:rFonts w:ascii="Arial" w:eastAsia="Times New Roman" w:hAnsi="Arial" w:cs="Arial"/>
          <w:color w:val="000000"/>
        </w:rPr>
        <w:t xml:space="preserve">was </w:t>
      </w:r>
      <w:r w:rsidR="00A421CE" w:rsidRPr="007B1DE4">
        <w:rPr>
          <w:rFonts w:ascii="Arial" w:eastAsia="Times New Roman" w:hAnsi="Arial" w:cs="Arial"/>
          <w:color w:val="000000"/>
        </w:rPr>
        <w:t>3</w:t>
      </w:r>
      <w:r w:rsidR="007B1DE4">
        <w:rPr>
          <w:rFonts w:ascii="Arial" w:eastAsia="Times New Roman" w:hAnsi="Arial" w:cs="Arial"/>
          <w:color w:val="000000"/>
        </w:rPr>
        <w:t>7</w:t>
      </w:r>
      <w:r w:rsidR="003737AB" w:rsidRPr="007B1DE4">
        <w:rPr>
          <w:rFonts w:ascii="Arial" w:eastAsia="Times New Roman" w:hAnsi="Arial" w:cs="Arial"/>
          <w:color w:val="000000"/>
        </w:rPr>
        <w:t xml:space="preserve"> percentage points lower than the overall success rate in </w:t>
      </w:r>
      <w:r w:rsidR="006E29D7" w:rsidRPr="007B1DE4">
        <w:rPr>
          <w:rFonts w:ascii="Arial" w:eastAsia="Times New Roman" w:hAnsi="Arial" w:cs="Arial"/>
          <w:color w:val="000000"/>
        </w:rPr>
        <w:t>Learning Center</w:t>
      </w:r>
      <w:r w:rsidR="007B1DE4">
        <w:rPr>
          <w:rFonts w:ascii="Arial" w:eastAsia="Times New Roman" w:hAnsi="Arial" w:cs="Arial"/>
          <w:color w:val="000000"/>
        </w:rPr>
        <w:t xml:space="preserve"> courses </w:t>
      </w:r>
      <w:r w:rsidR="0021585C" w:rsidRPr="007B1DE4">
        <w:rPr>
          <w:rFonts w:ascii="Arial" w:eastAsia="Times New Roman" w:hAnsi="Arial" w:cs="Arial"/>
          <w:color w:val="000000"/>
        </w:rPr>
        <w:t>during the 2022-2023 academic year</w:t>
      </w:r>
      <w:r w:rsidR="003737AB" w:rsidRPr="007B1DE4">
        <w:rPr>
          <w:rFonts w:ascii="Arial" w:eastAsia="Times New Roman" w:hAnsi="Arial" w:cs="Arial"/>
          <w:color w:val="000000"/>
        </w:rPr>
        <w:t>.</w:t>
      </w:r>
      <w:r w:rsidR="007B1DE4">
        <w:rPr>
          <w:rFonts w:ascii="Arial" w:eastAsia="Times New Roman" w:hAnsi="Arial" w:cs="Arial"/>
          <w:color w:val="000000"/>
        </w:rPr>
        <w:t xml:space="preserve"> T</w:t>
      </w:r>
      <w:r w:rsidR="007B1DE4" w:rsidRPr="007B1DE4">
        <w:rPr>
          <w:rFonts w:ascii="Arial" w:eastAsia="Times New Roman" w:hAnsi="Arial" w:cs="Arial"/>
          <w:color w:val="000000"/>
        </w:rPr>
        <w:t xml:space="preserve">he success rate for </w:t>
      </w:r>
      <w:r w:rsidR="007B1DE4">
        <w:rPr>
          <w:rFonts w:ascii="Arial" w:eastAsia="Times New Roman" w:hAnsi="Arial" w:cs="Arial"/>
          <w:color w:val="000000"/>
        </w:rPr>
        <w:t xml:space="preserve">part-time students (students enrolled in 6 to 11.9 units) was </w:t>
      </w:r>
      <w:r w:rsidR="00CD2126">
        <w:rPr>
          <w:rFonts w:ascii="Arial" w:eastAsia="Times New Roman" w:hAnsi="Arial" w:cs="Arial"/>
          <w:color w:val="000000"/>
        </w:rPr>
        <w:t>22.9</w:t>
      </w:r>
      <w:r w:rsidR="007B1DE4" w:rsidRPr="007B1DE4">
        <w:rPr>
          <w:rFonts w:ascii="Arial" w:eastAsia="Times New Roman" w:hAnsi="Arial" w:cs="Arial"/>
          <w:color w:val="000000"/>
        </w:rPr>
        <w:t xml:space="preserve"> percentage points lower than the overall success rate in Learning Center</w:t>
      </w:r>
      <w:r w:rsidR="007B1DE4">
        <w:rPr>
          <w:rFonts w:ascii="Arial" w:eastAsia="Times New Roman" w:hAnsi="Arial" w:cs="Arial"/>
          <w:color w:val="000000"/>
        </w:rPr>
        <w:t xml:space="preserve"> courses </w:t>
      </w:r>
      <w:r w:rsidR="00CD2126">
        <w:rPr>
          <w:rFonts w:ascii="Arial" w:eastAsia="Times New Roman" w:hAnsi="Arial" w:cs="Arial"/>
          <w:color w:val="000000"/>
        </w:rPr>
        <w:t>in</w:t>
      </w:r>
      <w:r w:rsidR="007B1DE4" w:rsidRPr="007B1DE4">
        <w:rPr>
          <w:rFonts w:ascii="Arial" w:eastAsia="Times New Roman" w:hAnsi="Arial" w:cs="Arial"/>
          <w:color w:val="000000"/>
        </w:rPr>
        <w:t xml:space="preserve"> 2022-2023.</w:t>
      </w:r>
    </w:p>
    <w:p w14:paraId="391EE846" w14:textId="77777777" w:rsidR="00D757CF" w:rsidRPr="007B1DE4" w:rsidRDefault="00D757CF" w:rsidP="00A44E2A">
      <w:pPr>
        <w:rPr>
          <w:rFonts w:ascii="Arial" w:eastAsia="Times New Roman" w:hAnsi="Arial" w:cs="Arial"/>
          <w:color w:val="000000"/>
        </w:rPr>
      </w:pPr>
    </w:p>
    <w:p w14:paraId="7A9D49A2" w14:textId="71C1936D" w:rsidR="0062317C" w:rsidRPr="007B1DE4" w:rsidRDefault="0062317C" w:rsidP="00A44E2A">
      <w:pPr>
        <w:rPr>
          <w:rFonts w:ascii="Arial" w:eastAsia="Times New Roman" w:hAnsi="Arial" w:cs="Arial"/>
          <w:color w:val="000000"/>
        </w:rPr>
      </w:pPr>
      <w:r w:rsidRPr="007B1DE4">
        <w:rPr>
          <w:rFonts w:ascii="Arial" w:eastAsia="Times New Roman" w:hAnsi="Arial" w:cs="Arial"/>
          <w:color w:val="000000"/>
        </w:rPr>
        <w:t>Table 2.</w:t>
      </w:r>
    </w:p>
    <w:tbl>
      <w:tblPr>
        <w:tblStyle w:val="TableGrid"/>
        <w:tblW w:w="0" w:type="auto"/>
        <w:tblLook w:val="04A0" w:firstRow="1" w:lastRow="0" w:firstColumn="1" w:lastColumn="0" w:noHBand="0" w:noVBand="1"/>
      </w:tblPr>
      <w:tblGrid>
        <w:gridCol w:w="5665"/>
        <w:gridCol w:w="1260"/>
      </w:tblGrid>
      <w:tr w:rsidR="00245E0D" w:rsidRPr="007B1DE4" w14:paraId="6A6268CD" w14:textId="0ACA2107" w:rsidTr="005562E7">
        <w:tc>
          <w:tcPr>
            <w:tcW w:w="5665" w:type="dxa"/>
            <w:vAlign w:val="center"/>
          </w:tcPr>
          <w:p w14:paraId="1FCD6EAD" w14:textId="77777777" w:rsidR="00245E0D" w:rsidRPr="007B1DE4" w:rsidRDefault="00245E0D" w:rsidP="0081760F">
            <w:pPr>
              <w:rPr>
                <w:rFonts w:ascii="Arial" w:eastAsia="Times New Roman" w:hAnsi="Arial" w:cs="Arial"/>
                <w:b/>
                <w:color w:val="000000"/>
              </w:rPr>
            </w:pPr>
            <w:r w:rsidRPr="007B1DE4">
              <w:rPr>
                <w:rFonts w:ascii="Arial" w:eastAsia="Times New Roman" w:hAnsi="Arial" w:cs="Arial"/>
                <w:b/>
                <w:color w:val="000000"/>
              </w:rPr>
              <w:lastRenderedPageBreak/>
              <w:t>Student Subgroup</w:t>
            </w:r>
          </w:p>
        </w:tc>
        <w:tc>
          <w:tcPr>
            <w:tcW w:w="1260" w:type="dxa"/>
            <w:vAlign w:val="center"/>
          </w:tcPr>
          <w:p w14:paraId="271BA3AA" w14:textId="77777777" w:rsidR="00245E0D" w:rsidRPr="007B1DE4" w:rsidRDefault="00245E0D" w:rsidP="0081760F">
            <w:pPr>
              <w:jc w:val="right"/>
              <w:rPr>
                <w:rFonts w:ascii="Arial" w:eastAsia="Times New Roman" w:hAnsi="Arial" w:cs="Arial"/>
                <w:b/>
                <w:color w:val="000000"/>
              </w:rPr>
            </w:pPr>
            <w:r w:rsidRPr="007B1DE4">
              <w:rPr>
                <w:rFonts w:ascii="Arial" w:eastAsia="Times New Roman" w:hAnsi="Arial" w:cs="Arial"/>
                <w:b/>
                <w:color w:val="000000"/>
              </w:rPr>
              <w:t>Gap</w:t>
            </w:r>
          </w:p>
        </w:tc>
      </w:tr>
      <w:tr w:rsidR="00D21413" w:rsidRPr="007B1DE4" w14:paraId="0DEF5DA2" w14:textId="77777777" w:rsidTr="005562E7">
        <w:tc>
          <w:tcPr>
            <w:tcW w:w="5665" w:type="dxa"/>
            <w:vAlign w:val="center"/>
          </w:tcPr>
          <w:p w14:paraId="03000B1D" w14:textId="1BA0A243" w:rsidR="00D21413" w:rsidRPr="007B1DE4" w:rsidRDefault="007B1DE4" w:rsidP="0081760F">
            <w:pPr>
              <w:rPr>
                <w:rFonts w:ascii="Arial" w:eastAsia="Times New Roman" w:hAnsi="Arial" w:cs="Arial"/>
                <w:color w:val="000000"/>
              </w:rPr>
            </w:pPr>
            <w:r w:rsidRPr="007B1DE4">
              <w:rPr>
                <w:rFonts w:ascii="Arial" w:eastAsia="Times New Roman" w:hAnsi="Arial" w:cs="Arial"/>
                <w:color w:val="000000"/>
              </w:rPr>
              <w:t>Age: 23 - 28</w:t>
            </w:r>
          </w:p>
        </w:tc>
        <w:tc>
          <w:tcPr>
            <w:tcW w:w="1260" w:type="dxa"/>
            <w:vAlign w:val="center"/>
          </w:tcPr>
          <w:p w14:paraId="33B6FC07" w14:textId="68948504" w:rsidR="00D21413" w:rsidRPr="007B1DE4" w:rsidRDefault="00D21413" w:rsidP="0081760F">
            <w:pPr>
              <w:jc w:val="right"/>
              <w:rPr>
                <w:rFonts w:ascii="Arial" w:eastAsia="Times New Roman" w:hAnsi="Arial" w:cs="Arial"/>
                <w:color w:val="000000"/>
              </w:rPr>
            </w:pPr>
            <w:r w:rsidRPr="007B1DE4">
              <w:rPr>
                <w:rFonts w:ascii="Arial" w:eastAsia="Times New Roman" w:hAnsi="Arial" w:cs="Arial"/>
                <w:color w:val="000000"/>
              </w:rPr>
              <w:t>-3</w:t>
            </w:r>
            <w:r w:rsidR="007B1DE4" w:rsidRPr="007B1DE4">
              <w:rPr>
                <w:rFonts w:ascii="Arial" w:eastAsia="Times New Roman" w:hAnsi="Arial" w:cs="Arial"/>
                <w:color w:val="000000"/>
              </w:rPr>
              <w:t>7.0</w:t>
            </w:r>
          </w:p>
        </w:tc>
      </w:tr>
      <w:tr w:rsidR="00D21413" w:rsidRPr="00A44E2A" w14:paraId="4EEE5381" w14:textId="77777777" w:rsidTr="005562E7">
        <w:tc>
          <w:tcPr>
            <w:tcW w:w="5665" w:type="dxa"/>
            <w:vAlign w:val="center"/>
          </w:tcPr>
          <w:p w14:paraId="5B5D95C7" w14:textId="04FB2E87" w:rsidR="00D21413" w:rsidRPr="007B1DE4" w:rsidRDefault="007B1DE4" w:rsidP="0081760F">
            <w:pPr>
              <w:rPr>
                <w:rFonts w:ascii="Arial" w:eastAsia="Times New Roman" w:hAnsi="Arial" w:cs="Arial"/>
                <w:color w:val="000000"/>
              </w:rPr>
            </w:pPr>
            <w:r w:rsidRPr="007B1DE4">
              <w:rPr>
                <w:rFonts w:ascii="Arial" w:eastAsia="Times New Roman" w:hAnsi="Arial" w:cs="Arial"/>
                <w:color w:val="000000"/>
              </w:rPr>
              <w:t>Unit Load: Part-Time</w:t>
            </w:r>
            <w:r w:rsidR="00CD2126">
              <w:rPr>
                <w:rFonts w:ascii="Arial" w:eastAsia="Times New Roman" w:hAnsi="Arial" w:cs="Arial"/>
                <w:color w:val="000000"/>
              </w:rPr>
              <w:t xml:space="preserve"> (6 to 11.9 units)</w:t>
            </w:r>
          </w:p>
        </w:tc>
        <w:tc>
          <w:tcPr>
            <w:tcW w:w="1260" w:type="dxa"/>
            <w:vAlign w:val="center"/>
          </w:tcPr>
          <w:p w14:paraId="3047D620" w14:textId="5D2924CA" w:rsidR="00D21413" w:rsidRPr="007B1DE4" w:rsidRDefault="00D21413" w:rsidP="0081760F">
            <w:pPr>
              <w:jc w:val="right"/>
              <w:rPr>
                <w:rFonts w:ascii="Arial" w:eastAsia="Times New Roman" w:hAnsi="Arial" w:cs="Arial"/>
                <w:color w:val="000000"/>
              </w:rPr>
            </w:pPr>
            <w:r w:rsidRPr="007B1DE4">
              <w:rPr>
                <w:rFonts w:ascii="Arial" w:eastAsia="Times New Roman" w:hAnsi="Arial" w:cs="Arial"/>
                <w:color w:val="000000"/>
              </w:rPr>
              <w:t>-</w:t>
            </w:r>
            <w:r w:rsidR="007B1DE4" w:rsidRPr="007B1DE4">
              <w:rPr>
                <w:rFonts w:ascii="Arial" w:eastAsia="Times New Roman" w:hAnsi="Arial" w:cs="Arial"/>
                <w:color w:val="000000"/>
              </w:rPr>
              <w:t>22</w:t>
            </w:r>
            <w:r w:rsidRPr="007B1DE4">
              <w:rPr>
                <w:rFonts w:ascii="Arial" w:eastAsia="Times New Roman" w:hAnsi="Arial" w:cs="Arial"/>
                <w:color w:val="000000"/>
              </w:rPr>
              <w:t>.</w:t>
            </w:r>
            <w:r w:rsidR="007B1DE4" w:rsidRPr="007B1DE4">
              <w:rPr>
                <w:rFonts w:ascii="Arial" w:eastAsia="Times New Roman" w:hAnsi="Arial" w:cs="Arial"/>
                <w:color w:val="000000"/>
              </w:rPr>
              <w:t>9</w:t>
            </w:r>
          </w:p>
        </w:tc>
      </w:tr>
    </w:tbl>
    <w:p w14:paraId="1C4DF200" w14:textId="7549A0FF" w:rsidR="00A44E2A" w:rsidRDefault="00A44E2A" w:rsidP="00D9546A">
      <w:pPr>
        <w:spacing w:after="0"/>
        <w:rPr>
          <w:rFonts w:ascii="Calibri" w:hAnsi="Calibri" w:cs="Calibri"/>
          <w:color w:val="000000"/>
        </w:rPr>
      </w:pPr>
    </w:p>
    <w:p w14:paraId="7720C4BE" w14:textId="7D2C1120"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t>Withdraws</w:t>
      </w:r>
    </w:p>
    <w:p w14:paraId="4BE4CBDC" w14:textId="0A87AE8F" w:rsidR="001C2E68" w:rsidRPr="001C2E68"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in</w:t>
      </w:r>
      <w:r w:rsidR="00DA0BD6">
        <w:rPr>
          <w:rFonts w:ascii="Arial" w:eastAsia="Times New Roman" w:hAnsi="Arial" w:cs="Arial"/>
          <w:color w:val="000000"/>
        </w:rPr>
        <w:t xml:space="preserve"> Learning Center courses</w:t>
      </w:r>
      <w:r w:rsidR="0021585C">
        <w:rPr>
          <w:rFonts w:ascii="Arial" w:eastAsia="Times New Roman" w:hAnsi="Arial" w:cs="Arial"/>
          <w:color w:val="000000"/>
        </w:rPr>
        <w:t xml:space="preserve"> w</w:t>
      </w:r>
      <w:r w:rsidR="00DA0BD6">
        <w:rPr>
          <w:rFonts w:ascii="Arial" w:eastAsia="Times New Roman" w:hAnsi="Arial" w:cs="Arial"/>
          <w:color w:val="000000"/>
        </w:rPr>
        <w:t>ere</w:t>
      </w:r>
      <w:r w:rsidR="0021585C">
        <w:rPr>
          <w:rFonts w:ascii="Arial" w:eastAsia="Times New Roman" w:hAnsi="Arial" w:cs="Arial"/>
          <w:color w:val="000000"/>
        </w:rPr>
        <w:t xml:space="preserve"> compared to the overall withdraw rate for the </w:t>
      </w:r>
      <w:r w:rsidR="0021585C" w:rsidRPr="00DA0BD6">
        <w:rPr>
          <w:rFonts w:ascii="Arial" w:eastAsia="Times New Roman" w:hAnsi="Arial" w:cs="Arial"/>
          <w:color w:val="000000"/>
        </w:rPr>
        <w:t xml:space="preserve">program. </w:t>
      </w:r>
      <w:r w:rsidR="00DA0BD6" w:rsidRPr="00DA0BD6">
        <w:rPr>
          <w:rFonts w:ascii="Arial" w:eastAsia="Times New Roman" w:hAnsi="Arial" w:cs="Arial"/>
          <w:color w:val="000000"/>
        </w:rPr>
        <w:t xml:space="preserve">One </w:t>
      </w:r>
      <w:r w:rsidR="000131F9" w:rsidRPr="00DA0BD6">
        <w:rPr>
          <w:rFonts w:ascii="Arial" w:eastAsia="Times New Roman" w:hAnsi="Arial" w:cs="Arial"/>
          <w:color w:val="000000"/>
        </w:rPr>
        <w:t>sub</w:t>
      </w:r>
      <w:r w:rsidR="00DA0BD6" w:rsidRPr="00DA0BD6">
        <w:rPr>
          <w:rFonts w:ascii="Arial" w:eastAsia="Times New Roman" w:hAnsi="Arial" w:cs="Arial"/>
          <w:color w:val="000000"/>
        </w:rPr>
        <w:t>group</w:t>
      </w:r>
      <w:r w:rsidR="0021585C" w:rsidRPr="00DA0BD6">
        <w:rPr>
          <w:rFonts w:ascii="Arial" w:eastAsia="Times New Roman" w:hAnsi="Arial" w:cs="Arial"/>
          <w:color w:val="000000"/>
        </w:rPr>
        <w:t xml:space="preserve"> had </w:t>
      </w:r>
      <w:proofErr w:type="spellStart"/>
      <w:proofErr w:type="gramStart"/>
      <w:r w:rsidR="0021585C" w:rsidRPr="00DA0BD6">
        <w:rPr>
          <w:rFonts w:ascii="Arial" w:eastAsia="Times New Roman" w:hAnsi="Arial" w:cs="Arial"/>
          <w:color w:val="000000"/>
        </w:rPr>
        <w:t>withdraw</w:t>
      </w:r>
      <w:proofErr w:type="spellEnd"/>
      <w:proofErr w:type="gramEnd"/>
      <w:r w:rsidR="0021585C" w:rsidRPr="00DA0BD6">
        <w:rPr>
          <w:rFonts w:ascii="Arial" w:eastAsia="Times New Roman" w:hAnsi="Arial" w:cs="Arial"/>
          <w:color w:val="000000"/>
        </w:rPr>
        <w:t xml:space="preserve"> rates that were significantly higher than the overall rate</w:t>
      </w:r>
      <w:r w:rsidR="00D757CF" w:rsidRPr="00DA0BD6">
        <w:rPr>
          <w:rFonts w:ascii="Arial" w:eastAsia="Times New Roman" w:hAnsi="Arial" w:cs="Arial"/>
          <w:color w:val="000000"/>
        </w:rPr>
        <w:t>, suggesting th</w:t>
      </w:r>
      <w:r w:rsidR="00DA0BD6" w:rsidRPr="00DA0BD6">
        <w:rPr>
          <w:rFonts w:ascii="Arial" w:eastAsia="Times New Roman" w:hAnsi="Arial" w:cs="Arial"/>
          <w:color w:val="000000"/>
        </w:rPr>
        <w:t>is</w:t>
      </w:r>
      <w:r w:rsidR="00D757CF" w:rsidRPr="00DA0BD6">
        <w:rPr>
          <w:rFonts w:ascii="Arial" w:eastAsia="Times New Roman" w:hAnsi="Arial" w:cs="Arial"/>
          <w:color w:val="000000"/>
        </w:rPr>
        <w:t xml:space="preserve"> group</w:t>
      </w:r>
      <w:r w:rsidR="00DA0BD6" w:rsidRPr="00DA0BD6">
        <w:rPr>
          <w:rFonts w:ascii="Arial" w:eastAsia="Times New Roman" w:hAnsi="Arial" w:cs="Arial"/>
          <w:color w:val="000000"/>
        </w:rPr>
        <w:t xml:space="preserve"> may have been</w:t>
      </w:r>
      <w:r w:rsidR="00D757CF" w:rsidRPr="00DA0BD6">
        <w:rPr>
          <w:rFonts w:ascii="Arial" w:eastAsia="Times New Roman" w:hAnsi="Arial" w:cs="Arial"/>
          <w:color w:val="000000"/>
        </w:rPr>
        <w:t xml:space="preserve"> disproportionate</w:t>
      </w:r>
      <w:r w:rsidR="00DA0BD6" w:rsidRPr="00DA0BD6">
        <w:rPr>
          <w:rFonts w:ascii="Arial" w:eastAsia="Times New Roman" w:hAnsi="Arial" w:cs="Arial"/>
          <w:color w:val="000000"/>
        </w:rPr>
        <w:t>ly</w:t>
      </w:r>
      <w:r w:rsidR="00D757CF" w:rsidRPr="00DA0BD6">
        <w:rPr>
          <w:rFonts w:ascii="Arial" w:eastAsia="Times New Roman" w:hAnsi="Arial" w:cs="Arial"/>
          <w:color w:val="000000"/>
        </w:rPr>
        <w:t xml:space="preserve"> impact</w:t>
      </w:r>
      <w:r w:rsidR="00DA0BD6" w:rsidRPr="00DA0BD6">
        <w:rPr>
          <w:rFonts w:ascii="Arial" w:eastAsia="Times New Roman" w:hAnsi="Arial" w:cs="Arial"/>
          <w:color w:val="000000"/>
        </w:rPr>
        <w:t>ed</w:t>
      </w:r>
      <w:r w:rsidR="00D757CF" w:rsidRPr="00DA0BD6">
        <w:rPr>
          <w:rFonts w:ascii="Arial" w:eastAsia="Times New Roman" w:hAnsi="Arial" w:cs="Arial"/>
          <w:color w:val="000000"/>
        </w:rPr>
        <w:t xml:space="preserve"> in </w:t>
      </w:r>
      <w:r w:rsidR="00DA0BD6" w:rsidRPr="00DA0BD6">
        <w:rPr>
          <w:rFonts w:ascii="Arial" w:eastAsia="Times New Roman" w:hAnsi="Arial" w:cs="Arial"/>
          <w:color w:val="000000"/>
        </w:rPr>
        <w:t>Learning Center courses</w:t>
      </w:r>
      <w:r w:rsidR="00D757CF" w:rsidRPr="00DA0BD6">
        <w:rPr>
          <w:rFonts w:ascii="Arial" w:eastAsia="Times New Roman" w:hAnsi="Arial" w:cs="Arial"/>
          <w:color w:val="000000"/>
        </w:rPr>
        <w:t xml:space="preserve">. </w:t>
      </w:r>
      <w:r w:rsidR="00DA0BD6" w:rsidRPr="00DA0BD6">
        <w:rPr>
          <w:rFonts w:ascii="Arial" w:eastAsia="Times New Roman" w:hAnsi="Arial" w:cs="Arial"/>
          <w:color w:val="000000"/>
        </w:rPr>
        <w:t>Learning Center s</w:t>
      </w:r>
      <w:r w:rsidR="00D757CF" w:rsidRPr="00DA0BD6">
        <w:rPr>
          <w:rFonts w:ascii="Arial" w:eastAsia="Times New Roman" w:hAnsi="Arial" w:cs="Arial"/>
          <w:color w:val="000000"/>
        </w:rPr>
        <w:t>tudents</w:t>
      </w:r>
      <w:r w:rsidR="000131F9" w:rsidRPr="00DA0BD6">
        <w:rPr>
          <w:rFonts w:ascii="Arial" w:eastAsia="Times New Roman" w:hAnsi="Arial" w:cs="Arial"/>
          <w:color w:val="000000"/>
        </w:rPr>
        <w:t xml:space="preserve"> </w:t>
      </w:r>
      <w:r w:rsidR="00DA0BD6" w:rsidRPr="00DA0BD6">
        <w:rPr>
          <w:rFonts w:ascii="Arial" w:eastAsia="Times New Roman" w:hAnsi="Arial" w:cs="Arial"/>
          <w:color w:val="000000"/>
        </w:rPr>
        <w:t xml:space="preserve">taking a part-time unit load (6 – 11.9 units) </w:t>
      </w:r>
      <w:r w:rsidR="00D757CF" w:rsidRPr="00DA0BD6">
        <w:rPr>
          <w:rFonts w:ascii="Arial" w:eastAsia="Times New Roman" w:hAnsi="Arial" w:cs="Arial"/>
          <w:color w:val="000000"/>
        </w:rPr>
        <w:t xml:space="preserve">had </w:t>
      </w:r>
      <w:proofErr w:type="spellStart"/>
      <w:r w:rsidR="00D757CF" w:rsidRPr="00DA0BD6">
        <w:rPr>
          <w:rFonts w:ascii="Arial" w:eastAsia="Times New Roman" w:hAnsi="Arial" w:cs="Arial"/>
          <w:color w:val="000000"/>
        </w:rPr>
        <w:t>withdraw</w:t>
      </w:r>
      <w:proofErr w:type="spellEnd"/>
      <w:r w:rsidR="00D757CF" w:rsidRPr="00DA0BD6">
        <w:rPr>
          <w:rFonts w:ascii="Arial" w:eastAsia="Times New Roman" w:hAnsi="Arial" w:cs="Arial"/>
          <w:color w:val="000000"/>
        </w:rPr>
        <w:t xml:space="preserve"> rates </w:t>
      </w:r>
      <w:r w:rsidR="000131F9" w:rsidRPr="00DA0BD6">
        <w:rPr>
          <w:rFonts w:ascii="Arial" w:eastAsia="Times New Roman" w:hAnsi="Arial" w:cs="Arial"/>
          <w:color w:val="000000"/>
        </w:rPr>
        <w:t>2</w:t>
      </w:r>
      <w:r w:rsidR="00DA0BD6" w:rsidRPr="00DA0BD6">
        <w:rPr>
          <w:rFonts w:ascii="Arial" w:eastAsia="Times New Roman" w:hAnsi="Arial" w:cs="Arial"/>
          <w:color w:val="000000"/>
        </w:rPr>
        <w:t>2</w:t>
      </w:r>
      <w:r w:rsidR="000131F9" w:rsidRPr="00DA0BD6">
        <w:rPr>
          <w:rFonts w:ascii="Arial" w:eastAsia="Times New Roman" w:hAnsi="Arial" w:cs="Arial"/>
          <w:color w:val="000000"/>
        </w:rPr>
        <w:t>.</w:t>
      </w:r>
      <w:r w:rsidR="00DA0BD6" w:rsidRPr="00DA0BD6">
        <w:rPr>
          <w:rFonts w:ascii="Arial" w:eastAsia="Times New Roman" w:hAnsi="Arial" w:cs="Arial"/>
          <w:color w:val="000000"/>
        </w:rPr>
        <w:t>9</w:t>
      </w:r>
      <w:r w:rsidR="00D757CF" w:rsidRPr="00DA0BD6">
        <w:rPr>
          <w:rFonts w:ascii="Arial" w:eastAsia="Times New Roman" w:hAnsi="Arial" w:cs="Arial"/>
          <w:color w:val="000000"/>
        </w:rPr>
        <w:t xml:space="preserve"> percentage points higher than the average </w:t>
      </w:r>
      <w:r w:rsidR="00DA0BD6" w:rsidRPr="00DA0BD6">
        <w:rPr>
          <w:rFonts w:ascii="Arial" w:eastAsia="Times New Roman" w:hAnsi="Arial" w:cs="Arial"/>
          <w:color w:val="000000"/>
        </w:rPr>
        <w:t xml:space="preserve">withdraw </w:t>
      </w:r>
      <w:r w:rsidR="00D757CF" w:rsidRPr="00DA0BD6">
        <w:rPr>
          <w:rFonts w:ascii="Arial" w:eastAsia="Times New Roman" w:hAnsi="Arial" w:cs="Arial"/>
          <w:color w:val="000000"/>
        </w:rPr>
        <w:t>rate</w:t>
      </w:r>
      <w:r w:rsidR="000131F9" w:rsidRPr="00DA0BD6">
        <w:rPr>
          <w:rFonts w:ascii="Arial" w:eastAsia="Times New Roman" w:hAnsi="Arial" w:cs="Arial"/>
          <w:color w:val="000000"/>
        </w:rPr>
        <w:t>.</w:t>
      </w:r>
    </w:p>
    <w:p w14:paraId="0E00C3AB" w14:textId="09CCB4B7" w:rsidR="00245E0D" w:rsidRDefault="00245E0D" w:rsidP="00245E0D">
      <w:pPr>
        <w:rPr>
          <w:rFonts w:ascii="Arial" w:eastAsia="Times New Roman" w:hAnsi="Arial" w:cs="Arial"/>
          <w:color w:val="000000"/>
        </w:rPr>
      </w:pPr>
      <w:r>
        <w:rPr>
          <w:rFonts w:ascii="Arial" w:eastAsia="Times New Roman" w:hAnsi="Arial" w:cs="Arial"/>
          <w:color w:val="000000"/>
        </w:rPr>
        <w:t>Table 3.</w:t>
      </w:r>
    </w:p>
    <w:tbl>
      <w:tblPr>
        <w:tblStyle w:val="TableGrid"/>
        <w:tblW w:w="0" w:type="auto"/>
        <w:tblLook w:val="04A0" w:firstRow="1" w:lastRow="0" w:firstColumn="1" w:lastColumn="0" w:noHBand="0" w:noVBand="1"/>
      </w:tblPr>
      <w:tblGrid>
        <w:gridCol w:w="5665"/>
        <w:gridCol w:w="1260"/>
      </w:tblGrid>
      <w:tr w:rsidR="00245E0D" w:rsidRPr="00A44E2A" w14:paraId="3C446CF4" w14:textId="77777777" w:rsidTr="0081760F">
        <w:tc>
          <w:tcPr>
            <w:tcW w:w="5665" w:type="dxa"/>
            <w:vAlign w:val="center"/>
          </w:tcPr>
          <w:p w14:paraId="4E5F3FE0" w14:textId="77777777" w:rsidR="00245E0D" w:rsidRPr="001F141B" w:rsidRDefault="00245E0D" w:rsidP="0081760F">
            <w:pPr>
              <w:rPr>
                <w:rFonts w:ascii="Arial" w:eastAsia="Times New Roman" w:hAnsi="Arial" w:cs="Arial"/>
                <w:b/>
                <w:color w:val="000000"/>
              </w:rPr>
            </w:pPr>
            <w:r w:rsidRPr="001F141B">
              <w:rPr>
                <w:rFonts w:ascii="Arial" w:eastAsia="Times New Roman" w:hAnsi="Arial" w:cs="Arial"/>
                <w:b/>
                <w:color w:val="000000"/>
              </w:rPr>
              <w:t>Student Subgroup</w:t>
            </w:r>
          </w:p>
        </w:tc>
        <w:tc>
          <w:tcPr>
            <w:tcW w:w="1260" w:type="dxa"/>
            <w:vAlign w:val="center"/>
          </w:tcPr>
          <w:p w14:paraId="37225C87" w14:textId="77777777" w:rsidR="00245E0D" w:rsidRPr="001F141B" w:rsidRDefault="00245E0D" w:rsidP="0081760F">
            <w:pPr>
              <w:jc w:val="right"/>
              <w:rPr>
                <w:rFonts w:ascii="Arial" w:eastAsia="Times New Roman" w:hAnsi="Arial" w:cs="Arial"/>
                <w:b/>
                <w:color w:val="000000"/>
              </w:rPr>
            </w:pPr>
            <w:r w:rsidRPr="001F141B">
              <w:rPr>
                <w:rFonts w:ascii="Arial" w:eastAsia="Times New Roman" w:hAnsi="Arial" w:cs="Arial"/>
                <w:b/>
                <w:color w:val="000000"/>
              </w:rPr>
              <w:t>Gap</w:t>
            </w:r>
          </w:p>
        </w:tc>
      </w:tr>
      <w:tr w:rsidR="001F141B" w:rsidRPr="00A44E2A" w14:paraId="7B4C97A2" w14:textId="77777777" w:rsidTr="0081760F">
        <w:tc>
          <w:tcPr>
            <w:tcW w:w="5665" w:type="dxa"/>
            <w:vAlign w:val="center"/>
          </w:tcPr>
          <w:p w14:paraId="08BD1344" w14:textId="3D3198ED" w:rsidR="001F141B" w:rsidRPr="001F141B" w:rsidRDefault="001F141B" w:rsidP="001F141B">
            <w:pPr>
              <w:rPr>
                <w:rFonts w:ascii="Arial" w:eastAsia="Times New Roman" w:hAnsi="Arial" w:cs="Arial"/>
                <w:b/>
                <w:color w:val="000000"/>
              </w:rPr>
            </w:pPr>
            <w:r w:rsidRPr="001F141B">
              <w:rPr>
                <w:rFonts w:ascii="Arial" w:eastAsia="Times New Roman" w:hAnsi="Arial" w:cs="Arial"/>
                <w:color w:val="000000"/>
              </w:rPr>
              <w:t>Unit Load: Part-Time (6 to 11.9 units)</w:t>
            </w:r>
          </w:p>
        </w:tc>
        <w:tc>
          <w:tcPr>
            <w:tcW w:w="1260" w:type="dxa"/>
            <w:vAlign w:val="center"/>
          </w:tcPr>
          <w:p w14:paraId="5898DC69" w14:textId="64BDD663" w:rsidR="001F141B" w:rsidRPr="001F141B" w:rsidRDefault="001F141B" w:rsidP="001F141B">
            <w:pPr>
              <w:jc w:val="right"/>
              <w:rPr>
                <w:rFonts w:ascii="Arial" w:eastAsia="Times New Roman" w:hAnsi="Arial" w:cs="Arial"/>
                <w:color w:val="000000"/>
              </w:rPr>
            </w:pPr>
            <w:r w:rsidRPr="001F141B">
              <w:rPr>
                <w:rFonts w:ascii="Arial" w:eastAsia="Times New Roman" w:hAnsi="Arial" w:cs="Arial"/>
                <w:color w:val="000000"/>
              </w:rPr>
              <w:t>+22.9</w:t>
            </w:r>
          </w:p>
        </w:tc>
      </w:tr>
    </w:tbl>
    <w:p w14:paraId="11AD2B2D" w14:textId="46A067B5" w:rsidR="00371B70" w:rsidRDefault="00371B70" w:rsidP="004E01EA">
      <w:pPr>
        <w:rPr>
          <w:rFonts w:ascii="Arial" w:eastAsia="Times New Roman" w:hAnsi="Arial" w:cs="Arial"/>
          <w:color w:val="000000"/>
          <w:u w:val="single"/>
        </w:rPr>
      </w:pPr>
      <w:r>
        <w:rPr>
          <w:rFonts w:ascii="Arial" w:eastAsia="Times New Roman" w:hAnsi="Arial" w:cs="Arial"/>
          <w:color w:val="000000"/>
          <w:u w:val="single"/>
        </w:rPr>
        <w:br w:type="page"/>
      </w:r>
    </w:p>
    <w:p w14:paraId="3B5E0D74"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1C3D1A00"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00AB0FC9">
        <w:rPr>
          <w:rFonts w:ascii="Times New Roman" w:eastAsia="Times New Roman" w:hAnsi="Times New Roman" w:cs="Times New Roman"/>
          <w:noProof/>
        </w:rPr>
        <w:drawing>
          <wp:inline distT="0" distB="0" distL="0" distR="0" wp14:anchorId="6F1B2DF1" wp14:editId="3F889475">
            <wp:extent cx="3776472" cy="4590288"/>
            <wp:effectExtent l="19050" t="19050" r="14605" b="203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CTR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76472" cy="4590288"/>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746EC8BF" w14:textId="02A03615" w:rsidR="00906503" w:rsidRPr="00A90F94" w:rsidRDefault="00DA0BD6" w:rsidP="00906503">
      <w:pPr>
        <w:rPr>
          <w:rFonts w:ascii="Arial" w:eastAsia="Times New Roman" w:hAnsi="Arial" w:cs="Arial"/>
          <w:color w:val="000000"/>
        </w:rPr>
      </w:pPr>
      <w:r w:rsidRPr="00AC545E">
        <w:rPr>
          <w:rFonts w:ascii="Arial" w:eastAsia="Times New Roman" w:hAnsi="Arial" w:cs="Arial"/>
          <w:color w:val="000000"/>
        </w:rPr>
        <w:t>Students enrolled in</w:t>
      </w:r>
      <w:r w:rsidR="00960E3A" w:rsidRPr="00AC545E">
        <w:rPr>
          <w:rFonts w:ascii="Arial" w:eastAsia="Times New Roman" w:hAnsi="Arial" w:cs="Arial"/>
          <w:color w:val="000000"/>
        </w:rPr>
        <w:t xml:space="preserve"> online </w:t>
      </w:r>
      <w:r w:rsidRPr="00AC545E">
        <w:rPr>
          <w:rFonts w:ascii="Arial" w:eastAsia="Times New Roman" w:hAnsi="Arial" w:cs="Arial"/>
          <w:color w:val="000000"/>
        </w:rPr>
        <w:t xml:space="preserve">Learning Center sections tend to have higher success rates than students enrolled in </w:t>
      </w:r>
      <w:r w:rsidR="00960E3A" w:rsidRPr="00AC545E">
        <w:rPr>
          <w:rFonts w:ascii="Arial" w:eastAsia="Times New Roman" w:hAnsi="Arial" w:cs="Arial"/>
          <w:color w:val="000000"/>
        </w:rPr>
        <w:t>face-to-face</w:t>
      </w:r>
      <w:r w:rsidR="00631106" w:rsidRPr="00AC545E">
        <w:rPr>
          <w:rFonts w:ascii="Arial" w:eastAsia="Times New Roman" w:hAnsi="Arial" w:cs="Arial"/>
          <w:color w:val="000000"/>
        </w:rPr>
        <w:t xml:space="preserve"> </w:t>
      </w:r>
      <w:r w:rsidRPr="00AC545E">
        <w:rPr>
          <w:rFonts w:ascii="Arial" w:eastAsia="Times New Roman" w:hAnsi="Arial" w:cs="Arial"/>
          <w:color w:val="000000"/>
        </w:rPr>
        <w:t>sections</w:t>
      </w:r>
      <w:r w:rsidR="00960E3A" w:rsidRPr="00AC545E">
        <w:rPr>
          <w:rFonts w:ascii="Arial" w:eastAsia="Times New Roman" w:hAnsi="Arial" w:cs="Arial"/>
          <w:color w:val="000000"/>
        </w:rPr>
        <w:t xml:space="preserve">. </w:t>
      </w:r>
      <w:r w:rsidRPr="00AC545E">
        <w:rPr>
          <w:rFonts w:ascii="Arial" w:eastAsia="Times New Roman" w:hAnsi="Arial" w:cs="Arial"/>
          <w:color w:val="000000"/>
        </w:rPr>
        <w:t>Students in synchronous sections have high</w:t>
      </w:r>
      <w:r w:rsidR="00AC545E">
        <w:rPr>
          <w:rFonts w:ascii="Arial" w:eastAsia="Times New Roman" w:hAnsi="Arial" w:cs="Arial"/>
          <w:color w:val="000000"/>
        </w:rPr>
        <w:t>er</w:t>
      </w:r>
      <w:r w:rsidRPr="00AC545E">
        <w:rPr>
          <w:rFonts w:ascii="Arial" w:eastAsia="Times New Roman" w:hAnsi="Arial" w:cs="Arial"/>
          <w:color w:val="000000"/>
        </w:rPr>
        <w:t xml:space="preserve"> success rates </w:t>
      </w:r>
      <w:r w:rsidR="00AC545E" w:rsidRPr="00AC545E">
        <w:rPr>
          <w:rFonts w:ascii="Arial" w:eastAsia="Times New Roman" w:hAnsi="Arial" w:cs="Arial"/>
          <w:color w:val="000000"/>
        </w:rPr>
        <w:t>than those in online and face-to-face sections</w:t>
      </w:r>
      <w:r w:rsidR="001425BB">
        <w:rPr>
          <w:rFonts w:ascii="Arial" w:eastAsia="Times New Roman" w:hAnsi="Arial" w:cs="Arial"/>
          <w:color w:val="000000"/>
        </w:rPr>
        <w:t xml:space="preserve"> for two of the last three academic years.</w:t>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6212" w14:textId="77777777" w:rsidR="00037256" w:rsidRDefault="00037256" w:rsidP="009F6F6B">
      <w:pPr>
        <w:spacing w:after="0" w:line="240" w:lineRule="auto"/>
      </w:pPr>
      <w:r>
        <w:separator/>
      </w:r>
    </w:p>
  </w:endnote>
  <w:endnote w:type="continuationSeparator" w:id="0">
    <w:p w14:paraId="51ADE79E" w14:textId="77777777" w:rsidR="00037256" w:rsidRDefault="00037256"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9879B" w14:textId="77777777" w:rsidR="00037256" w:rsidRDefault="00037256" w:rsidP="009F6F6B">
      <w:pPr>
        <w:spacing w:after="0" w:line="240" w:lineRule="auto"/>
      </w:pPr>
      <w:r>
        <w:separator/>
      </w:r>
    </w:p>
  </w:footnote>
  <w:footnote w:type="continuationSeparator" w:id="0">
    <w:p w14:paraId="441109D7" w14:textId="77777777" w:rsidR="00037256" w:rsidRDefault="00037256"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37256"/>
    <w:rsid w:val="00071FE1"/>
    <w:rsid w:val="000B759A"/>
    <w:rsid w:val="000C09EC"/>
    <w:rsid w:val="000E49CC"/>
    <w:rsid w:val="00110402"/>
    <w:rsid w:val="00131B64"/>
    <w:rsid w:val="001425BB"/>
    <w:rsid w:val="00160371"/>
    <w:rsid w:val="00161A45"/>
    <w:rsid w:val="00165053"/>
    <w:rsid w:val="00196BA1"/>
    <w:rsid w:val="001A5D4D"/>
    <w:rsid w:val="001C2E68"/>
    <w:rsid w:val="001C74E4"/>
    <w:rsid w:val="001D53F3"/>
    <w:rsid w:val="001E7537"/>
    <w:rsid w:val="001F141B"/>
    <w:rsid w:val="001F284B"/>
    <w:rsid w:val="0021585C"/>
    <w:rsid w:val="00245E0D"/>
    <w:rsid w:val="002520A0"/>
    <w:rsid w:val="002610F9"/>
    <w:rsid w:val="00272996"/>
    <w:rsid w:val="002757BF"/>
    <w:rsid w:val="00283F1F"/>
    <w:rsid w:val="002B12AF"/>
    <w:rsid w:val="002D1BAA"/>
    <w:rsid w:val="002D6B2A"/>
    <w:rsid w:val="002E4888"/>
    <w:rsid w:val="003117ED"/>
    <w:rsid w:val="003137E7"/>
    <w:rsid w:val="003378B0"/>
    <w:rsid w:val="00364669"/>
    <w:rsid w:val="00371B70"/>
    <w:rsid w:val="003737AB"/>
    <w:rsid w:val="00385A40"/>
    <w:rsid w:val="003863C8"/>
    <w:rsid w:val="003944C1"/>
    <w:rsid w:val="003C32C9"/>
    <w:rsid w:val="003E1693"/>
    <w:rsid w:val="00406E84"/>
    <w:rsid w:val="00414239"/>
    <w:rsid w:val="00440EF9"/>
    <w:rsid w:val="0044250A"/>
    <w:rsid w:val="00450965"/>
    <w:rsid w:val="004578B1"/>
    <w:rsid w:val="004660EE"/>
    <w:rsid w:val="004803B7"/>
    <w:rsid w:val="00486499"/>
    <w:rsid w:val="004A65E7"/>
    <w:rsid w:val="004B12C9"/>
    <w:rsid w:val="004D0BFA"/>
    <w:rsid w:val="004E01EA"/>
    <w:rsid w:val="004F62C3"/>
    <w:rsid w:val="00513828"/>
    <w:rsid w:val="00514BBA"/>
    <w:rsid w:val="00517C25"/>
    <w:rsid w:val="005221A6"/>
    <w:rsid w:val="00556CD8"/>
    <w:rsid w:val="00557564"/>
    <w:rsid w:val="0055791A"/>
    <w:rsid w:val="0056143B"/>
    <w:rsid w:val="00593B5C"/>
    <w:rsid w:val="005A052E"/>
    <w:rsid w:val="005A431B"/>
    <w:rsid w:val="005C2D87"/>
    <w:rsid w:val="005C612B"/>
    <w:rsid w:val="005D490B"/>
    <w:rsid w:val="005E1150"/>
    <w:rsid w:val="005F1CBB"/>
    <w:rsid w:val="005F4195"/>
    <w:rsid w:val="00602FD9"/>
    <w:rsid w:val="006166FA"/>
    <w:rsid w:val="00622C88"/>
    <w:rsid w:val="0062317C"/>
    <w:rsid w:val="00631106"/>
    <w:rsid w:val="00640C6D"/>
    <w:rsid w:val="00642589"/>
    <w:rsid w:val="00660FB7"/>
    <w:rsid w:val="006657F8"/>
    <w:rsid w:val="006946A5"/>
    <w:rsid w:val="00696858"/>
    <w:rsid w:val="006A0BA5"/>
    <w:rsid w:val="006B34B1"/>
    <w:rsid w:val="006D0A06"/>
    <w:rsid w:val="006E29D7"/>
    <w:rsid w:val="00700AA0"/>
    <w:rsid w:val="00702DDB"/>
    <w:rsid w:val="00710D82"/>
    <w:rsid w:val="007114A6"/>
    <w:rsid w:val="00724BB5"/>
    <w:rsid w:val="00737D1F"/>
    <w:rsid w:val="00744783"/>
    <w:rsid w:val="007449CA"/>
    <w:rsid w:val="00774B0F"/>
    <w:rsid w:val="0077565A"/>
    <w:rsid w:val="007837E7"/>
    <w:rsid w:val="00787E61"/>
    <w:rsid w:val="00796ADD"/>
    <w:rsid w:val="007B09D7"/>
    <w:rsid w:val="007B1DE4"/>
    <w:rsid w:val="007E0947"/>
    <w:rsid w:val="007F799E"/>
    <w:rsid w:val="00842524"/>
    <w:rsid w:val="0088418E"/>
    <w:rsid w:val="008A3246"/>
    <w:rsid w:val="008B7C87"/>
    <w:rsid w:val="008C4779"/>
    <w:rsid w:val="008D1F1D"/>
    <w:rsid w:val="008E1072"/>
    <w:rsid w:val="00906503"/>
    <w:rsid w:val="00915C51"/>
    <w:rsid w:val="0093187C"/>
    <w:rsid w:val="00960E3A"/>
    <w:rsid w:val="00983422"/>
    <w:rsid w:val="009B57FF"/>
    <w:rsid w:val="009F6F6B"/>
    <w:rsid w:val="00A1047B"/>
    <w:rsid w:val="00A34839"/>
    <w:rsid w:val="00A421CE"/>
    <w:rsid w:val="00A44E2A"/>
    <w:rsid w:val="00A82751"/>
    <w:rsid w:val="00A90297"/>
    <w:rsid w:val="00AB0FC9"/>
    <w:rsid w:val="00AC545E"/>
    <w:rsid w:val="00AE20D4"/>
    <w:rsid w:val="00B111AE"/>
    <w:rsid w:val="00B34B42"/>
    <w:rsid w:val="00B60703"/>
    <w:rsid w:val="00B62612"/>
    <w:rsid w:val="00B90196"/>
    <w:rsid w:val="00BA57D8"/>
    <w:rsid w:val="00BA6888"/>
    <w:rsid w:val="00BB2113"/>
    <w:rsid w:val="00C04714"/>
    <w:rsid w:val="00C23F41"/>
    <w:rsid w:val="00C24638"/>
    <w:rsid w:val="00C35443"/>
    <w:rsid w:val="00C44F13"/>
    <w:rsid w:val="00C52357"/>
    <w:rsid w:val="00C63EB0"/>
    <w:rsid w:val="00C66BA1"/>
    <w:rsid w:val="00C83B47"/>
    <w:rsid w:val="00CA72D0"/>
    <w:rsid w:val="00CD195E"/>
    <w:rsid w:val="00CD2126"/>
    <w:rsid w:val="00CE3F08"/>
    <w:rsid w:val="00CE622D"/>
    <w:rsid w:val="00CF317A"/>
    <w:rsid w:val="00CF619D"/>
    <w:rsid w:val="00D21413"/>
    <w:rsid w:val="00D550B5"/>
    <w:rsid w:val="00D630A5"/>
    <w:rsid w:val="00D63818"/>
    <w:rsid w:val="00D757CF"/>
    <w:rsid w:val="00D83D3E"/>
    <w:rsid w:val="00D8683A"/>
    <w:rsid w:val="00D9546A"/>
    <w:rsid w:val="00D97426"/>
    <w:rsid w:val="00DA0BD6"/>
    <w:rsid w:val="00DB454B"/>
    <w:rsid w:val="00DC0CF3"/>
    <w:rsid w:val="00E10268"/>
    <w:rsid w:val="00E20054"/>
    <w:rsid w:val="00E346A2"/>
    <w:rsid w:val="00E45401"/>
    <w:rsid w:val="00E470A9"/>
    <w:rsid w:val="00E5416B"/>
    <w:rsid w:val="00E579CF"/>
    <w:rsid w:val="00E75B0C"/>
    <w:rsid w:val="00E765D2"/>
    <w:rsid w:val="00E85BFC"/>
    <w:rsid w:val="00E9345B"/>
    <w:rsid w:val="00EC0E2C"/>
    <w:rsid w:val="00ED777E"/>
    <w:rsid w:val="00EF1F17"/>
    <w:rsid w:val="00EF5E14"/>
    <w:rsid w:val="00F173EE"/>
    <w:rsid w:val="00F30875"/>
    <w:rsid w:val="00F3584D"/>
    <w:rsid w:val="00F35B6A"/>
    <w:rsid w:val="00F40B7A"/>
    <w:rsid w:val="00F4378E"/>
    <w:rsid w:val="00F51BB8"/>
    <w:rsid w:val="00F56811"/>
    <w:rsid w:val="00F968EE"/>
    <w:rsid w:val="00FA4A6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1D7C-A461-4F58-BD96-4CD00A13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8</cp:revision>
  <cp:lastPrinted>2023-08-05T07:24:00Z</cp:lastPrinted>
  <dcterms:created xsi:type="dcterms:W3CDTF">2023-08-06T09:42:00Z</dcterms:created>
  <dcterms:modified xsi:type="dcterms:W3CDTF">2023-08-07T15:56:00Z</dcterms:modified>
</cp:coreProperties>
</file>