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01E0547C" w:rsidR="000C09EC" w:rsidRPr="00371B70" w:rsidRDefault="000A1C8F" w:rsidP="000C09EC">
      <w:pPr>
        <w:jc w:val="center"/>
        <w:rPr>
          <w:rFonts w:ascii="Arial" w:hAnsi="Arial" w:cs="Arial"/>
          <w:b/>
        </w:rPr>
      </w:pPr>
      <w:bookmarkStart w:id="0" w:name="_GoBack"/>
      <w:bookmarkEnd w:id="0"/>
      <w:r>
        <w:rPr>
          <w:rFonts w:ascii="Arial" w:hAnsi="Arial" w:cs="Arial"/>
          <w:b/>
        </w:rPr>
        <w:t>Medical Assisting</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47034F46" w14:textId="0BA708F6" w:rsidR="00A1047B" w:rsidRPr="00A34839"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7328647A" w14:textId="4AD1F082" w:rsidR="00A34839" w:rsidRDefault="00D229E5" w:rsidP="007114A6">
      <w:r>
        <w:rPr>
          <w:noProof/>
        </w:rPr>
        <w:drawing>
          <wp:inline distT="0" distB="0" distL="0" distR="0" wp14:anchorId="7304958C" wp14:editId="0C2DD714">
            <wp:extent cx="3703320" cy="2203704"/>
            <wp:effectExtent l="19050" t="19050" r="11430" b="2540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MEDA_Headcount.png"/>
                    <pic:cNvPicPr/>
                  </pic:nvPicPr>
                  <pic:blipFill>
                    <a:blip r:embed="rId8">
                      <a:extLst>
                        <a:ext uri="{28A0092B-C50C-407E-A947-70E740481C1C}">
                          <a14:useLocalDpi xmlns:a14="http://schemas.microsoft.com/office/drawing/2010/main" val="0"/>
                        </a:ext>
                      </a:extLst>
                    </a:blip>
                    <a:stretch>
                      <a:fillRect/>
                    </a:stretch>
                  </pic:blipFill>
                  <pic:spPr>
                    <a:xfrm>
                      <a:off x="0" y="0"/>
                      <a:ext cx="3703320" cy="2203704"/>
                    </a:xfrm>
                    <a:prstGeom prst="rect">
                      <a:avLst/>
                    </a:prstGeom>
                    <a:ln>
                      <a:solidFill>
                        <a:schemeClr val="bg2">
                          <a:lumMod val="50000"/>
                        </a:schemeClr>
                      </a:solidFill>
                    </a:ln>
                  </pic:spPr>
                </pic:pic>
              </a:graphicData>
            </a:graphic>
          </wp:inline>
        </w:drawing>
      </w:r>
    </w:p>
    <w:p w14:paraId="29CC0869" w14:textId="2958D449" w:rsidR="00C52357" w:rsidRDefault="00CF317A" w:rsidP="007114A6">
      <w:pPr>
        <w:rPr>
          <w:rFonts w:ascii="Arial" w:eastAsia="Times New Roman" w:hAnsi="Arial" w:cs="Arial"/>
          <w:color w:val="000000"/>
        </w:rPr>
      </w:pPr>
      <w:r w:rsidRPr="004D68E5">
        <w:rPr>
          <w:rFonts w:ascii="Arial" w:eastAsia="Times New Roman" w:hAnsi="Arial" w:cs="Arial"/>
          <w:color w:val="000000"/>
        </w:rPr>
        <w:t>H</w:t>
      </w:r>
      <w:r w:rsidR="005E1150" w:rsidRPr="004D68E5">
        <w:rPr>
          <w:rFonts w:ascii="Arial" w:eastAsia="Times New Roman" w:hAnsi="Arial" w:cs="Arial"/>
          <w:color w:val="000000"/>
        </w:rPr>
        <w:t>eadcount</w:t>
      </w:r>
      <w:r w:rsidR="000C09EC" w:rsidRPr="004D68E5">
        <w:rPr>
          <w:rFonts w:ascii="Arial" w:eastAsia="Times New Roman" w:hAnsi="Arial" w:cs="Arial"/>
          <w:color w:val="000000"/>
        </w:rPr>
        <w:t xml:space="preserve"> </w:t>
      </w:r>
      <w:r w:rsidR="00E75B0C" w:rsidRPr="004D68E5">
        <w:rPr>
          <w:rFonts w:ascii="Arial" w:eastAsia="Times New Roman" w:hAnsi="Arial" w:cs="Arial"/>
          <w:color w:val="000000"/>
        </w:rPr>
        <w:t xml:space="preserve">in </w:t>
      </w:r>
      <w:r w:rsidR="004D68E5" w:rsidRPr="004D68E5">
        <w:rPr>
          <w:rFonts w:ascii="Arial" w:eastAsia="Times New Roman" w:hAnsi="Arial" w:cs="Arial"/>
          <w:color w:val="000000"/>
        </w:rPr>
        <w:t>Medical Assisting</w:t>
      </w:r>
      <w:r w:rsidR="00E75B0C" w:rsidRPr="004D68E5">
        <w:rPr>
          <w:rFonts w:ascii="Arial" w:eastAsia="Times New Roman" w:hAnsi="Arial" w:cs="Arial"/>
          <w:color w:val="000000"/>
        </w:rPr>
        <w:t xml:space="preserve"> </w:t>
      </w:r>
      <w:r w:rsidR="000C09EC" w:rsidRPr="004D68E5">
        <w:rPr>
          <w:rFonts w:ascii="Arial" w:eastAsia="Times New Roman" w:hAnsi="Arial" w:cs="Arial"/>
          <w:color w:val="000000"/>
        </w:rPr>
        <w:t xml:space="preserve">was </w:t>
      </w:r>
      <w:r w:rsidR="004D68E5" w:rsidRPr="004D68E5">
        <w:rPr>
          <w:rFonts w:ascii="Arial" w:eastAsia="Times New Roman" w:hAnsi="Arial" w:cs="Arial"/>
          <w:color w:val="000000"/>
        </w:rPr>
        <w:t>up 50.8</w:t>
      </w:r>
      <w:r w:rsidR="000C09EC" w:rsidRPr="004D68E5">
        <w:rPr>
          <w:rFonts w:ascii="Arial" w:eastAsia="Times New Roman" w:hAnsi="Arial" w:cs="Arial"/>
          <w:color w:val="000000"/>
        </w:rPr>
        <w:t xml:space="preserve">% in 2022-2023 </w:t>
      </w:r>
      <w:r w:rsidR="002520A0" w:rsidRPr="004D68E5">
        <w:rPr>
          <w:rFonts w:ascii="Arial" w:eastAsia="Times New Roman" w:hAnsi="Arial" w:cs="Arial"/>
          <w:color w:val="000000"/>
        </w:rPr>
        <w:t>(1</w:t>
      </w:r>
      <w:r w:rsidR="004D68E5" w:rsidRPr="004D68E5">
        <w:rPr>
          <w:rFonts w:ascii="Arial" w:eastAsia="Times New Roman" w:hAnsi="Arial" w:cs="Arial"/>
          <w:color w:val="000000"/>
        </w:rPr>
        <w:t>90</w:t>
      </w:r>
      <w:r w:rsidR="002520A0" w:rsidRPr="004D68E5">
        <w:rPr>
          <w:rFonts w:ascii="Arial" w:eastAsia="Times New Roman" w:hAnsi="Arial" w:cs="Arial"/>
          <w:color w:val="000000"/>
        </w:rPr>
        <w:t xml:space="preserve"> students) </w:t>
      </w:r>
      <w:r w:rsidR="000C09EC" w:rsidRPr="004D68E5">
        <w:rPr>
          <w:rFonts w:ascii="Arial" w:eastAsia="Times New Roman" w:hAnsi="Arial" w:cs="Arial"/>
          <w:color w:val="000000"/>
        </w:rPr>
        <w:t xml:space="preserve">compared to </w:t>
      </w:r>
      <w:r w:rsidR="00B34B42" w:rsidRPr="004D68E5">
        <w:rPr>
          <w:rFonts w:ascii="Arial" w:eastAsia="Times New Roman" w:hAnsi="Arial" w:cs="Arial"/>
          <w:color w:val="000000"/>
        </w:rPr>
        <w:t>2018-2019</w:t>
      </w:r>
      <w:r w:rsidR="000C09EC" w:rsidRPr="004D68E5">
        <w:rPr>
          <w:rFonts w:ascii="Arial" w:eastAsia="Times New Roman" w:hAnsi="Arial" w:cs="Arial"/>
          <w:color w:val="000000"/>
        </w:rPr>
        <w:t xml:space="preserve"> (</w:t>
      </w:r>
      <w:r w:rsidR="004D68E5" w:rsidRPr="004D68E5">
        <w:rPr>
          <w:rFonts w:ascii="Arial" w:eastAsia="Times New Roman" w:hAnsi="Arial" w:cs="Arial"/>
          <w:color w:val="000000"/>
        </w:rPr>
        <w:t>126</w:t>
      </w:r>
      <w:r w:rsidR="002520A0" w:rsidRPr="004D68E5">
        <w:rPr>
          <w:rFonts w:ascii="Arial" w:eastAsia="Times New Roman" w:hAnsi="Arial" w:cs="Arial"/>
          <w:color w:val="000000"/>
        </w:rPr>
        <w:t xml:space="preserve"> students</w:t>
      </w:r>
      <w:r w:rsidR="000C09EC" w:rsidRPr="004D68E5">
        <w:rPr>
          <w:rFonts w:ascii="Arial" w:eastAsia="Times New Roman" w:hAnsi="Arial" w:cs="Arial"/>
          <w:color w:val="000000"/>
        </w:rPr>
        <w:t>).</w:t>
      </w:r>
      <w:r w:rsidR="00486499" w:rsidRPr="004D68E5">
        <w:rPr>
          <w:rFonts w:ascii="Arial" w:eastAsia="Times New Roman" w:hAnsi="Arial" w:cs="Arial"/>
          <w:color w:val="000000"/>
        </w:rPr>
        <w:t xml:space="preserve"> Headcount </w:t>
      </w:r>
      <w:r w:rsidR="004D68E5" w:rsidRPr="004D68E5">
        <w:rPr>
          <w:rFonts w:ascii="Arial" w:eastAsia="Times New Roman" w:hAnsi="Arial" w:cs="Arial"/>
          <w:color w:val="000000"/>
        </w:rPr>
        <w:t>peaked in 2020-2021</w:t>
      </w:r>
      <w:r w:rsidR="004D68E5">
        <w:rPr>
          <w:rFonts w:ascii="Arial" w:eastAsia="Times New Roman" w:hAnsi="Arial" w:cs="Arial"/>
          <w:color w:val="000000"/>
        </w:rPr>
        <w:t xml:space="preserve"> with 219 students</w:t>
      </w:r>
      <w:r w:rsidR="004D68E5" w:rsidRPr="004D68E5">
        <w:rPr>
          <w:rFonts w:ascii="Arial" w:eastAsia="Times New Roman" w:hAnsi="Arial" w:cs="Arial"/>
          <w:color w:val="000000"/>
        </w:rPr>
        <w:t>.</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18549D6B" w:rsidR="00E765D2" w:rsidRDefault="00D229E5" w:rsidP="00C52357">
      <w:r>
        <w:rPr>
          <w:noProof/>
        </w:rPr>
        <w:drawing>
          <wp:inline distT="0" distB="0" distL="0" distR="0" wp14:anchorId="0127CCB2" wp14:editId="0873384D">
            <wp:extent cx="3749040" cy="2788920"/>
            <wp:effectExtent l="19050" t="19050" r="22860" b="1143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MEDA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749040" cy="2788920"/>
                    </a:xfrm>
                    <a:prstGeom prst="rect">
                      <a:avLst/>
                    </a:prstGeom>
                    <a:ln>
                      <a:solidFill>
                        <a:schemeClr val="bg2">
                          <a:lumMod val="50000"/>
                        </a:schemeClr>
                      </a:solidFill>
                    </a:ln>
                  </pic:spPr>
                </pic:pic>
              </a:graphicData>
            </a:graphic>
          </wp:inline>
        </w:drawing>
      </w:r>
    </w:p>
    <w:p w14:paraId="1B7FB8BC" w14:textId="1BAE4078" w:rsidR="00C52357" w:rsidRPr="00E765D2" w:rsidRDefault="00C52357" w:rsidP="00C52357">
      <w:r w:rsidRPr="004D68E5">
        <w:rPr>
          <w:rFonts w:ascii="Arial" w:eastAsia="Times New Roman" w:hAnsi="Arial" w:cs="Arial"/>
          <w:color w:val="000000"/>
        </w:rPr>
        <w:t xml:space="preserve">Enrollment </w:t>
      </w:r>
      <w:r w:rsidR="00E765D2" w:rsidRPr="004D68E5">
        <w:rPr>
          <w:rFonts w:ascii="Arial" w:eastAsia="Times New Roman" w:hAnsi="Arial" w:cs="Arial"/>
          <w:color w:val="000000"/>
        </w:rPr>
        <w:t xml:space="preserve">in </w:t>
      </w:r>
      <w:r w:rsidR="004D68E5" w:rsidRPr="004D68E5">
        <w:rPr>
          <w:rFonts w:ascii="Arial" w:eastAsia="Times New Roman" w:hAnsi="Arial" w:cs="Arial"/>
          <w:color w:val="000000"/>
        </w:rPr>
        <w:t>Medical Assisting</w:t>
      </w:r>
      <w:r w:rsidR="00A1047B" w:rsidRPr="004D68E5">
        <w:rPr>
          <w:rFonts w:ascii="Arial" w:eastAsia="Times New Roman" w:hAnsi="Arial" w:cs="Arial"/>
          <w:color w:val="000000"/>
        </w:rPr>
        <w:t xml:space="preserve"> </w:t>
      </w:r>
      <w:r w:rsidRPr="004D68E5">
        <w:rPr>
          <w:rFonts w:ascii="Arial" w:eastAsia="Times New Roman" w:hAnsi="Arial" w:cs="Arial"/>
          <w:color w:val="000000"/>
        </w:rPr>
        <w:t>w</w:t>
      </w:r>
      <w:r w:rsidR="00700AA0" w:rsidRPr="004D68E5">
        <w:rPr>
          <w:rFonts w:ascii="Arial" w:eastAsia="Times New Roman" w:hAnsi="Arial" w:cs="Arial"/>
          <w:color w:val="000000"/>
        </w:rPr>
        <w:t>as</w:t>
      </w:r>
      <w:r w:rsidRPr="004D68E5">
        <w:rPr>
          <w:rFonts w:ascii="Arial" w:eastAsia="Times New Roman" w:hAnsi="Arial" w:cs="Arial"/>
          <w:color w:val="000000"/>
        </w:rPr>
        <w:t xml:space="preserve"> </w:t>
      </w:r>
      <w:r w:rsidR="004D68E5" w:rsidRPr="004D68E5">
        <w:rPr>
          <w:rFonts w:ascii="Arial" w:eastAsia="Times New Roman" w:hAnsi="Arial" w:cs="Arial"/>
          <w:color w:val="000000"/>
        </w:rPr>
        <w:t>up</w:t>
      </w:r>
      <w:r w:rsidRPr="004D68E5">
        <w:rPr>
          <w:rFonts w:ascii="Arial" w:eastAsia="Times New Roman" w:hAnsi="Arial" w:cs="Arial"/>
          <w:color w:val="000000"/>
        </w:rPr>
        <w:t xml:space="preserve"> </w:t>
      </w:r>
      <w:r w:rsidR="00A34839" w:rsidRPr="004D68E5">
        <w:rPr>
          <w:rFonts w:ascii="Arial" w:eastAsia="Times New Roman" w:hAnsi="Arial" w:cs="Arial"/>
          <w:color w:val="000000"/>
        </w:rPr>
        <w:t>3</w:t>
      </w:r>
      <w:r w:rsidR="004D68E5" w:rsidRPr="004D68E5">
        <w:rPr>
          <w:rFonts w:ascii="Arial" w:eastAsia="Times New Roman" w:hAnsi="Arial" w:cs="Arial"/>
          <w:color w:val="000000"/>
        </w:rPr>
        <w:t>1.5</w:t>
      </w:r>
      <w:r w:rsidRPr="004D68E5">
        <w:rPr>
          <w:rFonts w:ascii="Arial" w:eastAsia="Times New Roman" w:hAnsi="Arial" w:cs="Arial"/>
          <w:color w:val="000000"/>
        </w:rPr>
        <w:t>% in 2022-2023</w:t>
      </w:r>
      <w:r w:rsidR="00E765D2" w:rsidRPr="004D68E5">
        <w:rPr>
          <w:rFonts w:ascii="Arial" w:eastAsia="Times New Roman" w:hAnsi="Arial" w:cs="Arial"/>
          <w:color w:val="000000"/>
        </w:rPr>
        <w:t xml:space="preserve"> </w:t>
      </w:r>
      <w:r w:rsidRPr="004D68E5">
        <w:rPr>
          <w:rFonts w:ascii="Arial" w:eastAsia="Times New Roman" w:hAnsi="Arial" w:cs="Arial"/>
          <w:color w:val="000000"/>
        </w:rPr>
        <w:t>compared to five years ago</w:t>
      </w:r>
      <w:r w:rsidR="00131B64" w:rsidRPr="004D68E5">
        <w:rPr>
          <w:rFonts w:ascii="Arial" w:eastAsia="Times New Roman" w:hAnsi="Arial" w:cs="Arial"/>
          <w:color w:val="000000"/>
        </w:rPr>
        <w:t xml:space="preserve"> in 2018-2019. </w:t>
      </w:r>
      <w:r w:rsidR="004D68E5" w:rsidRPr="004D68E5">
        <w:rPr>
          <w:rFonts w:ascii="Arial" w:eastAsia="Times New Roman" w:hAnsi="Arial" w:cs="Arial"/>
          <w:color w:val="000000"/>
        </w:rPr>
        <w:t>The number of e</w:t>
      </w:r>
      <w:r w:rsidRPr="004D68E5">
        <w:rPr>
          <w:rFonts w:ascii="Arial" w:eastAsia="Times New Roman" w:hAnsi="Arial" w:cs="Arial"/>
          <w:color w:val="000000"/>
        </w:rPr>
        <w:t>nrollment</w:t>
      </w:r>
      <w:r w:rsidR="004D68E5" w:rsidRPr="004D68E5">
        <w:rPr>
          <w:rFonts w:ascii="Arial" w:eastAsia="Times New Roman" w:hAnsi="Arial" w:cs="Arial"/>
          <w:color w:val="000000"/>
        </w:rPr>
        <w:t>s</w:t>
      </w:r>
      <w:r w:rsidRPr="004D68E5">
        <w:rPr>
          <w:rFonts w:ascii="Arial" w:eastAsia="Times New Roman" w:hAnsi="Arial" w:cs="Arial"/>
          <w:color w:val="000000"/>
        </w:rPr>
        <w:t xml:space="preserve"> </w:t>
      </w:r>
      <w:r w:rsidR="00CF317A" w:rsidRPr="004D68E5">
        <w:rPr>
          <w:rFonts w:ascii="Arial" w:eastAsia="Times New Roman" w:hAnsi="Arial" w:cs="Arial"/>
          <w:color w:val="000000"/>
        </w:rPr>
        <w:t>reached a five-year</w:t>
      </w:r>
      <w:r w:rsidR="00F173EE" w:rsidRPr="004D68E5">
        <w:rPr>
          <w:rFonts w:ascii="Arial" w:eastAsia="Times New Roman" w:hAnsi="Arial" w:cs="Arial"/>
          <w:color w:val="000000"/>
        </w:rPr>
        <w:t xml:space="preserve"> high</w:t>
      </w:r>
      <w:r w:rsidR="00CF317A" w:rsidRPr="004D68E5">
        <w:rPr>
          <w:rFonts w:ascii="Arial" w:eastAsia="Times New Roman" w:hAnsi="Arial" w:cs="Arial"/>
          <w:color w:val="000000"/>
        </w:rPr>
        <w:t xml:space="preserve"> </w:t>
      </w:r>
      <w:r w:rsidR="00131B64" w:rsidRPr="004D68E5">
        <w:rPr>
          <w:rFonts w:ascii="Arial" w:eastAsia="Times New Roman" w:hAnsi="Arial" w:cs="Arial"/>
          <w:color w:val="000000"/>
        </w:rPr>
        <w:t xml:space="preserve">in </w:t>
      </w:r>
      <w:r w:rsidRPr="004D68E5">
        <w:rPr>
          <w:rFonts w:ascii="Arial" w:eastAsia="Times New Roman" w:hAnsi="Arial" w:cs="Arial"/>
          <w:color w:val="000000"/>
        </w:rPr>
        <w:t>20</w:t>
      </w:r>
      <w:r w:rsidR="004D68E5" w:rsidRPr="004D68E5">
        <w:rPr>
          <w:rFonts w:ascii="Arial" w:eastAsia="Times New Roman" w:hAnsi="Arial" w:cs="Arial"/>
          <w:color w:val="000000"/>
        </w:rPr>
        <w:t>20</w:t>
      </w:r>
      <w:r w:rsidRPr="004D68E5">
        <w:rPr>
          <w:rFonts w:ascii="Arial" w:eastAsia="Times New Roman" w:hAnsi="Arial" w:cs="Arial"/>
          <w:color w:val="000000"/>
        </w:rPr>
        <w:t>-20</w:t>
      </w:r>
      <w:r w:rsidR="004D68E5" w:rsidRPr="004D68E5">
        <w:rPr>
          <w:rFonts w:ascii="Arial" w:eastAsia="Times New Roman" w:hAnsi="Arial" w:cs="Arial"/>
          <w:color w:val="000000"/>
        </w:rPr>
        <w:t>21</w:t>
      </w:r>
      <w:r w:rsidR="00131B64" w:rsidRPr="004D68E5">
        <w:rPr>
          <w:rFonts w:ascii="Arial" w:eastAsia="Times New Roman" w:hAnsi="Arial" w:cs="Arial"/>
          <w:color w:val="000000"/>
        </w:rPr>
        <w:t xml:space="preserve"> </w:t>
      </w:r>
      <w:r w:rsidR="00F173EE" w:rsidRPr="004D68E5">
        <w:rPr>
          <w:rFonts w:ascii="Arial" w:eastAsia="Times New Roman" w:hAnsi="Arial" w:cs="Arial"/>
          <w:color w:val="000000"/>
        </w:rPr>
        <w:t>with</w:t>
      </w:r>
      <w:r w:rsidR="00700AA0" w:rsidRPr="004D68E5">
        <w:rPr>
          <w:rFonts w:ascii="Arial" w:eastAsia="Times New Roman" w:hAnsi="Arial" w:cs="Arial"/>
          <w:color w:val="000000"/>
        </w:rPr>
        <w:t xml:space="preserve"> </w:t>
      </w:r>
      <w:r w:rsidR="004D68E5" w:rsidRPr="004D68E5">
        <w:rPr>
          <w:rFonts w:ascii="Arial" w:eastAsia="Times New Roman" w:hAnsi="Arial" w:cs="Arial"/>
          <w:color w:val="000000"/>
        </w:rPr>
        <w:t>514</w:t>
      </w:r>
      <w:r w:rsidR="00700AA0" w:rsidRPr="004D68E5">
        <w:rPr>
          <w:rFonts w:ascii="Arial" w:eastAsia="Times New Roman" w:hAnsi="Arial" w:cs="Arial"/>
          <w:color w:val="000000"/>
        </w:rPr>
        <w:t xml:space="preserve"> </w:t>
      </w:r>
      <w:r w:rsidR="00F173EE" w:rsidRPr="004D68E5">
        <w:rPr>
          <w:rFonts w:ascii="Arial" w:eastAsia="Times New Roman" w:hAnsi="Arial" w:cs="Arial"/>
          <w:color w:val="000000"/>
        </w:rPr>
        <w:t xml:space="preserve">enrollments </w:t>
      </w:r>
      <w:r w:rsidR="00700AA0" w:rsidRPr="004D68E5">
        <w:rPr>
          <w:rFonts w:ascii="Arial" w:eastAsia="Times New Roman" w:hAnsi="Arial" w:cs="Arial"/>
          <w:color w:val="000000"/>
        </w:rPr>
        <w:t xml:space="preserve">and a five-year </w:t>
      </w:r>
      <w:r w:rsidR="00F173EE" w:rsidRPr="004D68E5">
        <w:rPr>
          <w:rFonts w:ascii="Arial" w:eastAsia="Times New Roman" w:hAnsi="Arial" w:cs="Arial"/>
          <w:color w:val="000000"/>
        </w:rPr>
        <w:t>low</w:t>
      </w:r>
      <w:r w:rsidR="00700AA0" w:rsidRPr="004D68E5">
        <w:rPr>
          <w:rFonts w:ascii="Arial" w:eastAsia="Times New Roman" w:hAnsi="Arial" w:cs="Arial"/>
          <w:color w:val="000000"/>
        </w:rPr>
        <w:t xml:space="preserve"> </w:t>
      </w:r>
      <w:r w:rsidR="00F173EE" w:rsidRPr="004D68E5">
        <w:rPr>
          <w:rFonts w:ascii="Arial" w:eastAsia="Times New Roman" w:hAnsi="Arial" w:cs="Arial"/>
          <w:color w:val="000000"/>
        </w:rPr>
        <w:t xml:space="preserve">of </w:t>
      </w:r>
      <w:r w:rsidR="004D68E5" w:rsidRPr="004D68E5">
        <w:rPr>
          <w:rFonts w:ascii="Arial" w:eastAsia="Times New Roman" w:hAnsi="Arial" w:cs="Arial"/>
          <w:color w:val="000000"/>
        </w:rPr>
        <w:t>317</w:t>
      </w:r>
      <w:r w:rsidR="00F173EE" w:rsidRPr="004D68E5">
        <w:rPr>
          <w:rFonts w:ascii="Arial" w:eastAsia="Times New Roman" w:hAnsi="Arial" w:cs="Arial"/>
          <w:color w:val="000000"/>
        </w:rPr>
        <w:t xml:space="preserve"> </w:t>
      </w:r>
      <w:r w:rsidR="00C04714" w:rsidRPr="004D68E5">
        <w:rPr>
          <w:rFonts w:ascii="Arial" w:eastAsia="Times New Roman" w:hAnsi="Arial" w:cs="Arial"/>
          <w:color w:val="000000"/>
        </w:rPr>
        <w:t xml:space="preserve">enrollments </w:t>
      </w:r>
      <w:r w:rsidR="00131B64" w:rsidRPr="004D68E5">
        <w:rPr>
          <w:rFonts w:ascii="Arial" w:eastAsia="Times New Roman" w:hAnsi="Arial" w:cs="Arial"/>
          <w:color w:val="000000"/>
        </w:rPr>
        <w:t xml:space="preserve">in </w:t>
      </w:r>
      <w:r w:rsidR="00700AA0" w:rsidRPr="004D68E5">
        <w:rPr>
          <w:rFonts w:ascii="Arial" w:eastAsia="Times New Roman" w:hAnsi="Arial" w:cs="Arial"/>
          <w:color w:val="000000"/>
        </w:rPr>
        <w:t>20</w:t>
      </w:r>
      <w:r w:rsidR="00C04714" w:rsidRPr="004D68E5">
        <w:rPr>
          <w:rFonts w:ascii="Arial" w:eastAsia="Times New Roman" w:hAnsi="Arial" w:cs="Arial"/>
          <w:color w:val="000000"/>
        </w:rPr>
        <w:t>1</w:t>
      </w:r>
      <w:r w:rsidR="004D68E5" w:rsidRPr="004D68E5">
        <w:rPr>
          <w:rFonts w:ascii="Arial" w:eastAsia="Times New Roman" w:hAnsi="Arial" w:cs="Arial"/>
          <w:color w:val="000000"/>
        </w:rPr>
        <w:t>8</w:t>
      </w:r>
      <w:r w:rsidR="00700AA0" w:rsidRPr="004D68E5">
        <w:rPr>
          <w:rFonts w:ascii="Arial" w:eastAsia="Times New Roman" w:hAnsi="Arial" w:cs="Arial"/>
          <w:color w:val="000000"/>
        </w:rPr>
        <w:t>-20</w:t>
      </w:r>
      <w:r w:rsidR="004D68E5" w:rsidRPr="004D68E5">
        <w:rPr>
          <w:rFonts w:ascii="Arial" w:eastAsia="Times New Roman" w:hAnsi="Arial" w:cs="Arial"/>
          <w:color w:val="000000"/>
        </w:rPr>
        <w:t>19</w:t>
      </w:r>
      <w:r w:rsidRPr="004D68E5">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4236D21B" w:rsidR="006B34B1" w:rsidRDefault="00D229E5" w:rsidP="007114A6">
      <w:r>
        <w:rPr>
          <w:noProof/>
        </w:rPr>
        <w:lastRenderedPageBreak/>
        <w:drawing>
          <wp:inline distT="0" distB="0" distL="0" distR="0" wp14:anchorId="0468DDA3" wp14:editId="1EB8A20B">
            <wp:extent cx="3758184" cy="2258568"/>
            <wp:effectExtent l="19050" t="19050" r="13970" b="279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8184" cy="2258568"/>
                    </a:xfrm>
                    <a:prstGeom prst="rect">
                      <a:avLst/>
                    </a:prstGeom>
                    <a:noFill/>
                    <a:ln>
                      <a:solidFill>
                        <a:schemeClr val="bg2">
                          <a:lumMod val="50000"/>
                        </a:schemeClr>
                      </a:solidFill>
                    </a:ln>
                  </pic:spPr>
                </pic:pic>
              </a:graphicData>
            </a:graphic>
          </wp:inline>
        </w:drawing>
      </w:r>
    </w:p>
    <w:p w14:paraId="131D9B61" w14:textId="42FFB521" w:rsidR="00DB454B" w:rsidRDefault="00E5416B" w:rsidP="007114A6">
      <w:pPr>
        <w:rPr>
          <w:rFonts w:ascii="Arial" w:hAnsi="Arial" w:cs="Arial"/>
        </w:rPr>
      </w:pPr>
      <w:r w:rsidRPr="00D80005">
        <w:rPr>
          <w:rFonts w:ascii="Arial" w:hAnsi="Arial" w:cs="Arial"/>
        </w:rPr>
        <w:t>F</w:t>
      </w:r>
      <w:r w:rsidR="003944C1" w:rsidRPr="00D80005">
        <w:rPr>
          <w:rFonts w:ascii="Arial" w:hAnsi="Arial" w:cs="Arial"/>
        </w:rPr>
        <w:t xml:space="preserve">ull-time equivalent students (FTES) </w:t>
      </w:r>
      <w:r w:rsidR="00131B64" w:rsidRPr="00D80005">
        <w:rPr>
          <w:rFonts w:ascii="Arial" w:hAnsi="Arial" w:cs="Arial"/>
        </w:rPr>
        <w:t xml:space="preserve">in </w:t>
      </w:r>
      <w:r w:rsidR="004D68E5" w:rsidRPr="00D80005">
        <w:rPr>
          <w:rFonts w:ascii="Arial" w:hAnsi="Arial" w:cs="Arial"/>
        </w:rPr>
        <w:t>Medical Assisting</w:t>
      </w:r>
      <w:r w:rsidRPr="00D80005">
        <w:rPr>
          <w:rFonts w:ascii="Arial" w:hAnsi="Arial" w:cs="Arial"/>
        </w:rPr>
        <w:t xml:space="preserve"> </w:t>
      </w:r>
      <w:r w:rsidR="003944C1" w:rsidRPr="00D80005">
        <w:rPr>
          <w:rFonts w:ascii="Arial" w:hAnsi="Arial" w:cs="Arial"/>
        </w:rPr>
        <w:t xml:space="preserve">was </w:t>
      </w:r>
      <w:r w:rsidR="00D80005" w:rsidRPr="00D80005">
        <w:rPr>
          <w:rFonts w:ascii="Arial" w:hAnsi="Arial" w:cs="Arial"/>
        </w:rPr>
        <w:t>up 98.3</w:t>
      </w:r>
      <w:r w:rsidR="003944C1" w:rsidRPr="00D80005">
        <w:rPr>
          <w:rFonts w:ascii="Arial" w:hAnsi="Arial" w:cs="Arial"/>
        </w:rPr>
        <w:t>% in the most recent academic year (2022-2023) compared to five years ago (2018-2019), a</w:t>
      </w:r>
      <w:r w:rsidR="00D80005" w:rsidRPr="00D80005">
        <w:rPr>
          <w:rFonts w:ascii="Arial" w:hAnsi="Arial" w:cs="Arial"/>
        </w:rPr>
        <w:t>n</w:t>
      </w:r>
      <w:r w:rsidR="003944C1" w:rsidRPr="00D80005">
        <w:rPr>
          <w:rFonts w:ascii="Arial" w:hAnsi="Arial" w:cs="Arial"/>
        </w:rPr>
        <w:t xml:space="preserve"> </w:t>
      </w:r>
      <w:r w:rsidR="004D68E5" w:rsidRPr="00D80005">
        <w:rPr>
          <w:rFonts w:ascii="Arial" w:hAnsi="Arial" w:cs="Arial"/>
        </w:rPr>
        <w:t>in</w:t>
      </w:r>
      <w:r w:rsidR="009B57FF" w:rsidRPr="00D80005">
        <w:rPr>
          <w:rFonts w:ascii="Arial" w:hAnsi="Arial" w:cs="Arial"/>
        </w:rPr>
        <w:t>crease</w:t>
      </w:r>
      <w:r w:rsidR="003944C1" w:rsidRPr="00D80005">
        <w:rPr>
          <w:rFonts w:ascii="Arial" w:hAnsi="Arial" w:cs="Arial"/>
        </w:rPr>
        <w:t xml:space="preserve"> of </w:t>
      </w:r>
      <w:r w:rsidR="004D68E5" w:rsidRPr="00D80005">
        <w:rPr>
          <w:rFonts w:ascii="Arial" w:hAnsi="Arial" w:cs="Arial"/>
        </w:rPr>
        <w:t>17.3</w:t>
      </w:r>
      <w:r w:rsidR="003944C1" w:rsidRPr="00D80005">
        <w:rPr>
          <w:rFonts w:ascii="Arial" w:hAnsi="Arial" w:cs="Arial"/>
        </w:rPr>
        <w:t xml:space="preserve"> FTES.</w:t>
      </w:r>
    </w:p>
    <w:p w14:paraId="04E718D2" w14:textId="77777777" w:rsidR="00700AA0" w:rsidRPr="003944C1" w:rsidRDefault="00700AA0" w:rsidP="007114A6">
      <w:pPr>
        <w:rPr>
          <w:rFonts w:ascii="Arial" w:hAnsi="Arial" w:cs="Arial"/>
        </w:rPr>
      </w:pPr>
    </w:p>
    <w:p w14:paraId="344B57F5" w14:textId="44519D57" w:rsidR="00C52357" w:rsidRDefault="00D229E5"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0A0DF9EF" wp14:editId="79F52AA7">
            <wp:extent cx="3703320" cy="2825496"/>
            <wp:effectExtent l="19050" t="19050" r="11430" b="1333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EDA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703320" cy="2825496"/>
                    </a:xfrm>
                    <a:prstGeom prst="rect">
                      <a:avLst/>
                    </a:prstGeom>
                    <a:ln>
                      <a:solidFill>
                        <a:schemeClr val="bg2">
                          <a:lumMod val="50000"/>
                        </a:schemeClr>
                      </a:solidFill>
                    </a:ln>
                  </pic:spPr>
                </pic:pic>
              </a:graphicData>
            </a:graphic>
          </wp:inline>
        </w:drawing>
      </w:r>
    </w:p>
    <w:p w14:paraId="497A16CA" w14:textId="7BD92276" w:rsidR="00C52357" w:rsidRDefault="00131B64" w:rsidP="007114A6">
      <w:pPr>
        <w:rPr>
          <w:rFonts w:ascii="Arial" w:eastAsia="Times New Roman" w:hAnsi="Arial" w:cs="Arial"/>
          <w:color w:val="000000"/>
        </w:rPr>
      </w:pPr>
      <w:r w:rsidRPr="00413D09">
        <w:rPr>
          <w:rFonts w:ascii="Arial" w:eastAsia="Times New Roman" w:hAnsi="Arial" w:cs="Arial"/>
          <w:color w:val="000000"/>
        </w:rPr>
        <w:t>The number of s</w:t>
      </w:r>
      <w:r w:rsidR="00C52357" w:rsidRPr="00413D09">
        <w:rPr>
          <w:rFonts w:ascii="Arial" w:eastAsia="Times New Roman" w:hAnsi="Arial" w:cs="Arial"/>
          <w:color w:val="000000"/>
        </w:rPr>
        <w:t>ection</w:t>
      </w:r>
      <w:r w:rsidRPr="00413D09">
        <w:rPr>
          <w:rFonts w:ascii="Arial" w:eastAsia="Times New Roman" w:hAnsi="Arial" w:cs="Arial"/>
          <w:color w:val="000000"/>
        </w:rPr>
        <w:t>s</w:t>
      </w:r>
      <w:r w:rsidR="00C52357" w:rsidRPr="00413D09">
        <w:rPr>
          <w:rFonts w:ascii="Arial" w:eastAsia="Times New Roman" w:hAnsi="Arial" w:cs="Arial"/>
          <w:color w:val="000000"/>
        </w:rPr>
        <w:t xml:space="preserve"> </w:t>
      </w:r>
      <w:r w:rsidRPr="00413D09">
        <w:rPr>
          <w:rFonts w:ascii="Arial" w:eastAsia="Times New Roman" w:hAnsi="Arial" w:cs="Arial"/>
          <w:color w:val="000000"/>
        </w:rPr>
        <w:t xml:space="preserve">in </w:t>
      </w:r>
      <w:r w:rsidR="004D68E5" w:rsidRPr="00413D09">
        <w:rPr>
          <w:rFonts w:ascii="Arial" w:eastAsia="Times New Roman" w:hAnsi="Arial" w:cs="Arial"/>
          <w:color w:val="000000"/>
        </w:rPr>
        <w:t>Medical Assisting</w:t>
      </w:r>
      <w:r w:rsidR="00E5416B" w:rsidRPr="00413D09">
        <w:rPr>
          <w:rFonts w:ascii="Arial" w:eastAsia="Times New Roman" w:hAnsi="Arial" w:cs="Arial"/>
          <w:color w:val="000000"/>
        </w:rPr>
        <w:t xml:space="preserve"> </w:t>
      </w:r>
      <w:r w:rsidR="00413D09" w:rsidRPr="00413D09">
        <w:rPr>
          <w:rFonts w:ascii="Arial" w:eastAsia="Times New Roman" w:hAnsi="Arial" w:cs="Arial"/>
          <w:color w:val="000000"/>
        </w:rPr>
        <w:t>went</w:t>
      </w:r>
      <w:r w:rsidR="00D80005" w:rsidRPr="00413D09">
        <w:rPr>
          <w:rFonts w:ascii="Arial" w:eastAsia="Times New Roman" w:hAnsi="Arial" w:cs="Arial"/>
          <w:color w:val="000000"/>
        </w:rPr>
        <w:t xml:space="preserve"> from 22 sections in 2018-2019 to 2</w:t>
      </w:r>
      <w:r w:rsidR="00413D09" w:rsidRPr="00413D09">
        <w:rPr>
          <w:rFonts w:ascii="Arial" w:eastAsia="Times New Roman" w:hAnsi="Arial" w:cs="Arial"/>
          <w:color w:val="000000"/>
        </w:rPr>
        <w:t>4</w:t>
      </w:r>
      <w:r w:rsidR="00D80005" w:rsidRPr="00413D09">
        <w:rPr>
          <w:rFonts w:ascii="Arial" w:eastAsia="Times New Roman" w:hAnsi="Arial" w:cs="Arial"/>
          <w:color w:val="000000"/>
        </w:rPr>
        <w:t xml:space="preserve"> sections in 20</w:t>
      </w:r>
      <w:r w:rsidR="00413D09" w:rsidRPr="00413D09">
        <w:rPr>
          <w:rFonts w:ascii="Arial" w:eastAsia="Times New Roman" w:hAnsi="Arial" w:cs="Arial"/>
          <w:color w:val="000000"/>
        </w:rPr>
        <w:t>22</w:t>
      </w:r>
      <w:r w:rsidR="00D80005" w:rsidRPr="00413D09">
        <w:rPr>
          <w:rFonts w:ascii="Arial" w:eastAsia="Times New Roman" w:hAnsi="Arial" w:cs="Arial"/>
          <w:color w:val="000000"/>
        </w:rPr>
        <w:t>-202</w:t>
      </w:r>
      <w:r w:rsidR="00413D09" w:rsidRPr="00413D09">
        <w:rPr>
          <w:rFonts w:ascii="Arial" w:eastAsia="Times New Roman" w:hAnsi="Arial" w:cs="Arial"/>
          <w:color w:val="000000"/>
        </w:rPr>
        <w:t>3, with a high of 26 sections in 2019-2020</w:t>
      </w:r>
      <w:r w:rsidR="00D80005" w:rsidRPr="00413D09">
        <w:rPr>
          <w:rFonts w:ascii="Arial" w:eastAsia="Times New Roman" w:hAnsi="Arial" w:cs="Arial"/>
          <w:color w:val="000000"/>
        </w:rPr>
        <w:t xml:space="preserve">. </w:t>
      </w:r>
    </w:p>
    <w:p w14:paraId="6859FE9B" w14:textId="77777777" w:rsidR="003944C1" w:rsidRDefault="003944C1" w:rsidP="007114A6">
      <w:pPr>
        <w:rPr>
          <w:rFonts w:ascii="Arial" w:eastAsia="Times New Roman" w:hAnsi="Arial" w:cs="Arial"/>
          <w:color w:val="000000"/>
        </w:rPr>
      </w:pPr>
    </w:p>
    <w:p w14:paraId="6BC9137B" w14:textId="33B30CB9" w:rsidR="007114A6" w:rsidRDefault="00D229E5" w:rsidP="007114A6">
      <w:r>
        <w:rPr>
          <w:noProof/>
        </w:rPr>
        <w:lastRenderedPageBreak/>
        <w:drawing>
          <wp:inline distT="0" distB="0" distL="0" distR="0" wp14:anchorId="76FBEB5F" wp14:editId="7C91402A">
            <wp:extent cx="3685032" cy="2606040"/>
            <wp:effectExtent l="19050" t="19050" r="10795" b="2286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DA_FTEF.png"/>
                    <pic:cNvPicPr/>
                  </pic:nvPicPr>
                  <pic:blipFill>
                    <a:blip r:embed="rId12">
                      <a:extLst>
                        <a:ext uri="{28A0092B-C50C-407E-A947-70E740481C1C}">
                          <a14:useLocalDpi xmlns:a14="http://schemas.microsoft.com/office/drawing/2010/main" val="0"/>
                        </a:ext>
                      </a:extLst>
                    </a:blip>
                    <a:stretch>
                      <a:fillRect/>
                    </a:stretch>
                  </pic:blipFill>
                  <pic:spPr>
                    <a:xfrm>
                      <a:off x="0" y="0"/>
                      <a:ext cx="3685032" cy="2606040"/>
                    </a:xfrm>
                    <a:prstGeom prst="rect">
                      <a:avLst/>
                    </a:prstGeom>
                    <a:ln>
                      <a:solidFill>
                        <a:schemeClr val="bg2">
                          <a:lumMod val="50000"/>
                        </a:schemeClr>
                      </a:solidFill>
                    </a:ln>
                  </pic:spPr>
                </pic:pic>
              </a:graphicData>
            </a:graphic>
          </wp:inline>
        </w:drawing>
      </w:r>
    </w:p>
    <w:p w14:paraId="1BFD3632" w14:textId="5AA55A84" w:rsidR="00F40B7A" w:rsidRDefault="00131B64" w:rsidP="007114A6">
      <w:pPr>
        <w:rPr>
          <w:rFonts w:ascii="Arial" w:eastAsia="Times New Roman" w:hAnsi="Arial" w:cs="Arial"/>
          <w:color w:val="000000"/>
        </w:rPr>
      </w:pPr>
      <w:r w:rsidRPr="00413D09">
        <w:rPr>
          <w:rFonts w:ascii="Arial" w:eastAsia="Times New Roman" w:hAnsi="Arial" w:cs="Arial"/>
          <w:color w:val="000000"/>
        </w:rPr>
        <w:t>The n</w:t>
      </w:r>
      <w:r w:rsidR="000C09EC" w:rsidRPr="00413D09">
        <w:rPr>
          <w:rFonts w:ascii="Arial" w:eastAsia="Times New Roman" w:hAnsi="Arial" w:cs="Arial"/>
          <w:color w:val="000000"/>
        </w:rPr>
        <w:t xml:space="preserve">umber of full-time equivalent faculty (FTEF) </w:t>
      </w:r>
      <w:r w:rsidRPr="00413D09">
        <w:rPr>
          <w:rFonts w:ascii="Arial" w:eastAsia="Times New Roman" w:hAnsi="Arial" w:cs="Arial"/>
          <w:color w:val="000000"/>
        </w:rPr>
        <w:t xml:space="preserve">in </w:t>
      </w:r>
      <w:r w:rsidR="004D68E5" w:rsidRPr="00413D09">
        <w:rPr>
          <w:rFonts w:ascii="Arial" w:eastAsia="Times New Roman" w:hAnsi="Arial" w:cs="Arial"/>
          <w:color w:val="000000"/>
        </w:rPr>
        <w:t>Medical Assisting</w:t>
      </w:r>
      <w:r w:rsidR="003E1693" w:rsidRPr="00413D09">
        <w:rPr>
          <w:rFonts w:ascii="Arial" w:eastAsia="Times New Roman" w:hAnsi="Arial" w:cs="Arial"/>
          <w:color w:val="000000"/>
        </w:rPr>
        <w:t xml:space="preserve"> went from </w:t>
      </w:r>
      <w:r w:rsidR="00413D09" w:rsidRPr="00413D09">
        <w:rPr>
          <w:rFonts w:ascii="Arial" w:eastAsia="Times New Roman" w:hAnsi="Arial" w:cs="Arial"/>
          <w:color w:val="000000"/>
        </w:rPr>
        <w:t>3</w:t>
      </w:r>
      <w:r w:rsidR="003E1693" w:rsidRPr="00413D09">
        <w:rPr>
          <w:rFonts w:ascii="Arial" w:eastAsia="Times New Roman" w:hAnsi="Arial" w:cs="Arial"/>
          <w:color w:val="000000"/>
        </w:rPr>
        <w:t xml:space="preserve"> in 2018-2019</w:t>
      </w:r>
      <w:r w:rsidR="00413D09" w:rsidRPr="00413D09">
        <w:rPr>
          <w:rFonts w:ascii="Arial" w:eastAsia="Times New Roman" w:hAnsi="Arial" w:cs="Arial"/>
          <w:color w:val="000000"/>
        </w:rPr>
        <w:t xml:space="preserve"> </w:t>
      </w:r>
      <w:r w:rsidR="003E1693" w:rsidRPr="00413D09">
        <w:rPr>
          <w:rFonts w:ascii="Arial" w:eastAsia="Times New Roman" w:hAnsi="Arial" w:cs="Arial"/>
          <w:color w:val="000000"/>
        </w:rPr>
        <w:t xml:space="preserve">to </w:t>
      </w:r>
      <w:r w:rsidR="00413D09" w:rsidRPr="00413D09">
        <w:rPr>
          <w:rFonts w:ascii="Arial" w:eastAsia="Times New Roman" w:hAnsi="Arial" w:cs="Arial"/>
          <w:color w:val="000000"/>
        </w:rPr>
        <w:t>4 for the next four academic years.</w:t>
      </w:r>
    </w:p>
    <w:p w14:paraId="33B35003" w14:textId="77777777" w:rsidR="009B57FF" w:rsidRDefault="009B57FF" w:rsidP="007114A6"/>
    <w:p w14:paraId="5C14CDD7" w14:textId="19BBD1F6" w:rsidR="00F40B7A" w:rsidRDefault="00D229E5" w:rsidP="007114A6">
      <w:r>
        <w:rPr>
          <w:noProof/>
        </w:rPr>
        <w:drawing>
          <wp:inline distT="0" distB="0" distL="0" distR="0" wp14:anchorId="5572991E" wp14:editId="317F430C">
            <wp:extent cx="3666744" cy="2660904"/>
            <wp:effectExtent l="19050" t="19050" r="10160" b="2540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MEDA_Load.png"/>
                    <pic:cNvPicPr/>
                  </pic:nvPicPr>
                  <pic:blipFill>
                    <a:blip r:embed="rId13">
                      <a:extLst>
                        <a:ext uri="{28A0092B-C50C-407E-A947-70E740481C1C}">
                          <a14:useLocalDpi xmlns:a14="http://schemas.microsoft.com/office/drawing/2010/main" val="0"/>
                        </a:ext>
                      </a:extLst>
                    </a:blip>
                    <a:stretch>
                      <a:fillRect/>
                    </a:stretch>
                  </pic:blipFill>
                  <pic:spPr>
                    <a:xfrm>
                      <a:off x="0" y="0"/>
                      <a:ext cx="3666744" cy="2660904"/>
                    </a:xfrm>
                    <a:prstGeom prst="rect">
                      <a:avLst/>
                    </a:prstGeom>
                    <a:ln>
                      <a:solidFill>
                        <a:schemeClr val="bg2">
                          <a:lumMod val="50000"/>
                        </a:schemeClr>
                      </a:solidFill>
                    </a:ln>
                  </pic:spPr>
                </pic:pic>
              </a:graphicData>
            </a:graphic>
          </wp:inline>
        </w:drawing>
      </w:r>
    </w:p>
    <w:p w14:paraId="25299B5B" w14:textId="4CC9EA2B" w:rsidR="00F40B7A" w:rsidRDefault="009B57FF" w:rsidP="007114A6">
      <w:r w:rsidRPr="00413D09">
        <w:rPr>
          <w:rFonts w:ascii="Arial" w:eastAsia="Times New Roman" w:hAnsi="Arial" w:cs="Arial"/>
          <w:color w:val="000000"/>
        </w:rPr>
        <w:t>L</w:t>
      </w:r>
      <w:r w:rsidR="00E10268" w:rsidRPr="00413D09">
        <w:rPr>
          <w:rFonts w:ascii="Arial" w:eastAsia="Times New Roman" w:hAnsi="Arial" w:cs="Arial"/>
          <w:color w:val="000000"/>
        </w:rPr>
        <w:t xml:space="preserve">oad </w:t>
      </w:r>
      <w:r w:rsidR="00131B64" w:rsidRPr="00413D09">
        <w:rPr>
          <w:rFonts w:ascii="Arial" w:eastAsia="Times New Roman" w:hAnsi="Arial" w:cs="Arial"/>
          <w:color w:val="000000"/>
        </w:rPr>
        <w:t xml:space="preserve">in </w:t>
      </w:r>
      <w:r w:rsidR="004D68E5" w:rsidRPr="00413D09">
        <w:rPr>
          <w:rFonts w:ascii="Arial" w:eastAsia="Times New Roman" w:hAnsi="Arial" w:cs="Arial"/>
          <w:color w:val="000000"/>
        </w:rPr>
        <w:t>Medical Assisting</w:t>
      </w:r>
      <w:r w:rsidR="00131B64" w:rsidRPr="00413D09">
        <w:rPr>
          <w:rFonts w:ascii="Arial" w:eastAsia="Times New Roman" w:hAnsi="Arial" w:cs="Arial"/>
          <w:color w:val="000000"/>
        </w:rPr>
        <w:t xml:space="preserve"> </w:t>
      </w:r>
      <w:r w:rsidR="00E10268" w:rsidRPr="00413D09">
        <w:rPr>
          <w:rFonts w:ascii="Arial" w:eastAsia="Times New Roman" w:hAnsi="Arial" w:cs="Arial"/>
          <w:color w:val="000000"/>
        </w:rPr>
        <w:t xml:space="preserve">fluctuated </w:t>
      </w:r>
      <w:r w:rsidR="00413D09" w:rsidRPr="00413D09">
        <w:rPr>
          <w:rFonts w:ascii="Arial" w:eastAsia="Times New Roman" w:hAnsi="Arial" w:cs="Arial"/>
          <w:color w:val="000000"/>
        </w:rPr>
        <w:t>over</w:t>
      </w:r>
      <w:r w:rsidR="00E10268" w:rsidRPr="00413D09">
        <w:rPr>
          <w:rFonts w:ascii="Arial" w:eastAsia="Times New Roman" w:hAnsi="Arial" w:cs="Arial"/>
          <w:color w:val="000000"/>
        </w:rPr>
        <w:t xml:space="preserve"> the last five academic years</w:t>
      </w:r>
      <w:r w:rsidR="00413D09" w:rsidRPr="00413D09">
        <w:rPr>
          <w:rFonts w:ascii="Arial" w:eastAsia="Times New Roman" w:hAnsi="Arial" w:cs="Arial"/>
          <w:color w:val="000000"/>
        </w:rPr>
        <w:t>, with a five-year</w:t>
      </w:r>
      <w:r w:rsidR="003E1693" w:rsidRPr="00413D09">
        <w:rPr>
          <w:rFonts w:ascii="Arial" w:eastAsia="Times New Roman" w:hAnsi="Arial" w:cs="Arial"/>
          <w:color w:val="000000"/>
        </w:rPr>
        <w:t xml:space="preserve"> </w:t>
      </w:r>
      <w:r w:rsidR="00413D09" w:rsidRPr="00413D09">
        <w:rPr>
          <w:rFonts w:ascii="Arial" w:eastAsia="Times New Roman" w:hAnsi="Arial" w:cs="Arial"/>
          <w:color w:val="000000"/>
        </w:rPr>
        <w:t>max</w:t>
      </w:r>
      <w:r w:rsidR="00E10268" w:rsidRPr="00413D09">
        <w:rPr>
          <w:rFonts w:ascii="Arial" w:eastAsia="Times New Roman" w:hAnsi="Arial" w:cs="Arial"/>
          <w:color w:val="000000"/>
        </w:rPr>
        <w:t xml:space="preserve"> of </w:t>
      </w:r>
      <w:r w:rsidR="00413D09" w:rsidRPr="00413D09">
        <w:rPr>
          <w:rFonts w:ascii="Arial" w:eastAsia="Times New Roman" w:hAnsi="Arial" w:cs="Arial"/>
          <w:color w:val="000000"/>
        </w:rPr>
        <w:t>299</w:t>
      </w:r>
      <w:r w:rsidR="00E10268" w:rsidRPr="00413D09">
        <w:rPr>
          <w:rFonts w:ascii="Arial" w:eastAsia="Times New Roman" w:hAnsi="Arial" w:cs="Arial"/>
          <w:color w:val="000000"/>
        </w:rPr>
        <w:t xml:space="preserve"> in 20</w:t>
      </w:r>
      <w:r w:rsidR="00413D09" w:rsidRPr="00413D09">
        <w:rPr>
          <w:rFonts w:ascii="Arial" w:eastAsia="Times New Roman" w:hAnsi="Arial" w:cs="Arial"/>
          <w:color w:val="000000"/>
        </w:rPr>
        <w:t>20</w:t>
      </w:r>
      <w:r w:rsidR="00E10268" w:rsidRPr="00413D09">
        <w:rPr>
          <w:rFonts w:ascii="Arial" w:eastAsia="Times New Roman" w:hAnsi="Arial" w:cs="Arial"/>
          <w:color w:val="000000"/>
        </w:rPr>
        <w:t>-202</w:t>
      </w:r>
      <w:r w:rsidR="00413D09" w:rsidRPr="00413D09">
        <w:rPr>
          <w:rFonts w:ascii="Arial" w:eastAsia="Times New Roman" w:hAnsi="Arial" w:cs="Arial"/>
          <w:color w:val="000000"/>
        </w:rPr>
        <w:t>1</w:t>
      </w:r>
      <w:r w:rsidR="00E10268" w:rsidRPr="00413D09">
        <w:rPr>
          <w:rFonts w:ascii="Arial" w:eastAsia="Times New Roman" w:hAnsi="Arial" w:cs="Arial"/>
          <w:color w:val="000000"/>
        </w:rPr>
        <w:t xml:space="preserve"> and a </w:t>
      </w:r>
      <w:r w:rsidR="00413D09" w:rsidRPr="00413D09">
        <w:rPr>
          <w:rFonts w:ascii="Arial" w:eastAsia="Times New Roman" w:hAnsi="Arial" w:cs="Arial"/>
          <w:color w:val="000000"/>
        </w:rPr>
        <w:t>five-year low</w:t>
      </w:r>
      <w:r w:rsidR="00E10268" w:rsidRPr="00413D09">
        <w:rPr>
          <w:rFonts w:ascii="Arial" w:eastAsia="Times New Roman" w:hAnsi="Arial" w:cs="Arial"/>
          <w:color w:val="000000"/>
        </w:rPr>
        <w:t xml:space="preserve"> of </w:t>
      </w:r>
      <w:r w:rsidR="00413D09" w:rsidRPr="00413D09">
        <w:rPr>
          <w:rFonts w:ascii="Arial" w:eastAsia="Times New Roman" w:hAnsi="Arial" w:cs="Arial"/>
          <w:color w:val="000000"/>
        </w:rPr>
        <w:t>15</w:t>
      </w:r>
      <w:r w:rsidR="003E1693" w:rsidRPr="00413D09">
        <w:rPr>
          <w:rFonts w:ascii="Arial" w:eastAsia="Times New Roman" w:hAnsi="Arial" w:cs="Arial"/>
          <w:color w:val="000000"/>
        </w:rPr>
        <w:t>1</w:t>
      </w:r>
      <w:r w:rsidR="00E10268" w:rsidRPr="00413D09">
        <w:rPr>
          <w:rFonts w:ascii="Arial" w:eastAsia="Times New Roman" w:hAnsi="Arial" w:cs="Arial"/>
          <w:color w:val="000000"/>
        </w:rPr>
        <w:t xml:space="preserve"> in 20</w:t>
      </w:r>
      <w:r w:rsidR="00413D09" w:rsidRPr="00413D09">
        <w:rPr>
          <w:rFonts w:ascii="Arial" w:eastAsia="Times New Roman" w:hAnsi="Arial" w:cs="Arial"/>
          <w:color w:val="000000"/>
        </w:rPr>
        <w:t>19</w:t>
      </w:r>
      <w:r w:rsidR="00E10268" w:rsidRPr="00413D09">
        <w:rPr>
          <w:rFonts w:ascii="Arial" w:eastAsia="Times New Roman" w:hAnsi="Arial" w:cs="Arial"/>
          <w:color w:val="000000"/>
        </w:rPr>
        <w:t>-202</w:t>
      </w:r>
      <w:r w:rsidR="00413D09" w:rsidRPr="00413D09">
        <w:rPr>
          <w:rFonts w:ascii="Arial" w:eastAsia="Times New Roman" w:hAnsi="Arial" w:cs="Arial"/>
          <w:color w:val="000000"/>
        </w:rPr>
        <w:t>0</w:t>
      </w:r>
      <w:r w:rsidR="00131B64" w:rsidRPr="00413D09">
        <w:rPr>
          <w:rFonts w:ascii="Arial" w:eastAsia="Times New Roman" w:hAnsi="Arial" w:cs="Arial"/>
          <w:color w:val="000000"/>
        </w:rPr>
        <w:t>.</w:t>
      </w:r>
      <w:r w:rsidR="00413D09" w:rsidRPr="00413D09">
        <w:rPr>
          <w:rFonts w:ascii="Arial" w:eastAsia="Times New Roman" w:hAnsi="Arial" w:cs="Arial"/>
          <w:color w:val="000000"/>
        </w:rPr>
        <w:t xml:space="preserve"> Load for the most recent academic year was 225.</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63636B31"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66400F4E" w:rsidR="008E1072" w:rsidRPr="00AB0ADB" w:rsidRDefault="00D229E5"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29821BD" wp14:editId="19F54B05">
            <wp:extent cx="3721608" cy="4142232"/>
            <wp:effectExtent l="19050" t="19050" r="12700" b="1079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MEDA_Success.png"/>
                    <pic:cNvPicPr/>
                  </pic:nvPicPr>
                  <pic:blipFill>
                    <a:blip r:embed="rId15">
                      <a:extLst>
                        <a:ext uri="{28A0092B-C50C-407E-A947-70E740481C1C}">
                          <a14:useLocalDpi xmlns:a14="http://schemas.microsoft.com/office/drawing/2010/main" val="0"/>
                        </a:ext>
                      </a:extLst>
                    </a:blip>
                    <a:stretch>
                      <a:fillRect/>
                    </a:stretch>
                  </pic:blipFill>
                  <pic:spPr>
                    <a:xfrm>
                      <a:off x="0" y="0"/>
                      <a:ext cx="3721608" cy="4142232"/>
                    </a:xfrm>
                    <a:prstGeom prst="rect">
                      <a:avLst/>
                    </a:prstGeom>
                    <a:ln>
                      <a:solidFill>
                        <a:schemeClr val="bg2">
                          <a:lumMod val="50000"/>
                        </a:schemeClr>
                      </a:solidFill>
                    </a:ln>
                  </pic:spPr>
                </pic:pic>
              </a:graphicData>
            </a:graphic>
          </wp:inline>
        </w:drawing>
      </w:r>
    </w:p>
    <w:p w14:paraId="184B3617" w14:textId="2B1F4EB0" w:rsidR="008E1072" w:rsidRDefault="00602FD9" w:rsidP="008E1072">
      <w:pPr>
        <w:spacing w:before="240" w:after="240" w:line="240" w:lineRule="auto"/>
        <w:rPr>
          <w:rFonts w:ascii="Arial" w:eastAsia="Times New Roman" w:hAnsi="Arial" w:cs="Arial"/>
          <w:color w:val="000000"/>
        </w:rPr>
      </w:pPr>
      <w:r w:rsidRPr="00010B31">
        <w:rPr>
          <w:rFonts w:ascii="Arial" w:eastAsia="Times New Roman" w:hAnsi="Arial" w:cs="Arial"/>
          <w:color w:val="000000"/>
        </w:rPr>
        <w:t>The o</w:t>
      </w:r>
      <w:r w:rsidR="008E1072" w:rsidRPr="00010B31">
        <w:rPr>
          <w:rFonts w:ascii="Arial" w:eastAsia="Times New Roman" w:hAnsi="Arial" w:cs="Arial"/>
          <w:color w:val="000000"/>
        </w:rPr>
        <w:t>verall success rate</w:t>
      </w:r>
      <w:r w:rsidRPr="00010B31">
        <w:rPr>
          <w:rFonts w:ascii="Arial" w:eastAsia="Times New Roman" w:hAnsi="Arial" w:cs="Arial"/>
          <w:color w:val="000000"/>
        </w:rPr>
        <w:t xml:space="preserve"> in </w:t>
      </w:r>
      <w:r w:rsidR="004D68E5" w:rsidRPr="00010B31">
        <w:rPr>
          <w:rFonts w:ascii="Arial" w:eastAsia="Times New Roman" w:hAnsi="Arial" w:cs="Arial"/>
          <w:color w:val="000000"/>
        </w:rPr>
        <w:t>Medical Assisting</w:t>
      </w:r>
      <w:r w:rsidR="008E1072" w:rsidRPr="00010B31">
        <w:rPr>
          <w:rFonts w:ascii="Arial" w:eastAsia="Times New Roman" w:hAnsi="Arial" w:cs="Arial"/>
          <w:color w:val="000000"/>
        </w:rPr>
        <w:t xml:space="preserve"> </w:t>
      </w:r>
      <w:r w:rsidR="006A0BA5" w:rsidRPr="00010B31">
        <w:rPr>
          <w:rFonts w:ascii="Arial" w:eastAsia="Times New Roman" w:hAnsi="Arial" w:cs="Arial"/>
          <w:color w:val="000000"/>
        </w:rPr>
        <w:t>de</w:t>
      </w:r>
      <w:r w:rsidR="008E1072" w:rsidRPr="00010B31">
        <w:rPr>
          <w:rFonts w:ascii="Arial" w:eastAsia="Times New Roman" w:hAnsi="Arial" w:cs="Arial"/>
          <w:color w:val="000000"/>
        </w:rPr>
        <w:t xml:space="preserve">creased from </w:t>
      </w:r>
      <w:r w:rsidR="00413D09" w:rsidRPr="00010B31">
        <w:rPr>
          <w:rFonts w:ascii="Arial" w:eastAsia="Times New Roman" w:hAnsi="Arial" w:cs="Arial"/>
          <w:color w:val="000000"/>
        </w:rPr>
        <w:t>94</w:t>
      </w:r>
      <w:r w:rsidR="008E1072" w:rsidRPr="00010B31">
        <w:rPr>
          <w:rFonts w:ascii="Arial" w:eastAsia="Times New Roman" w:hAnsi="Arial" w:cs="Arial"/>
          <w:color w:val="000000"/>
        </w:rPr>
        <w:t xml:space="preserve">% in 2018-2019 to </w:t>
      </w:r>
      <w:r w:rsidR="00413D09" w:rsidRPr="00010B31">
        <w:rPr>
          <w:rFonts w:ascii="Arial" w:eastAsia="Times New Roman" w:hAnsi="Arial" w:cs="Arial"/>
          <w:color w:val="000000"/>
        </w:rPr>
        <w:t>80</w:t>
      </w:r>
      <w:r w:rsidR="008E1072" w:rsidRPr="00010B31">
        <w:rPr>
          <w:rFonts w:ascii="Arial" w:eastAsia="Times New Roman" w:hAnsi="Arial" w:cs="Arial"/>
          <w:color w:val="000000"/>
        </w:rPr>
        <w:t xml:space="preserve">% in </w:t>
      </w:r>
      <w:r w:rsidR="00413D09" w:rsidRPr="00010B31">
        <w:rPr>
          <w:rFonts w:ascii="Arial" w:eastAsia="Times New Roman" w:hAnsi="Arial" w:cs="Arial"/>
          <w:color w:val="000000"/>
        </w:rPr>
        <w:t>2</w:t>
      </w:r>
      <w:r w:rsidR="006A0BA5" w:rsidRPr="00010B31">
        <w:rPr>
          <w:rFonts w:ascii="Arial" w:eastAsia="Times New Roman" w:hAnsi="Arial" w:cs="Arial"/>
          <w:color w:val="000000"/>
        </w:rPr>
        <w:t>022-2023</w:t>
      </w:r>
      <w:r w:rsidR="008E1072" w:rsidRPr="00010B31">
        <w:rPr>
          <w:rFonts w:ascii="Arial" w:eastAsia="Times New Roman" w:hAnsi="Arial" w:cs="Arial"/>
          <w:color w:val="000000"/>
        </w:rPr>
        <w:t xml:space="preserve">. </w:t>
      </w:r>
      <w:r w:rsidR="008C4779" w:rsidRPr="00010B31">
        <w:rPr>
          <w:rFonts w:ascii="Arial" w:eastAsia="Times New Roman" w:hAnsi="Arial" w:cs="Arial"/>
          <w:color w:val="000000"/>
        </w:rPr>
        <w:t>W</w:t>
      </w:r>
      <w:r w:rsidR="008E1072" w:rsidRPr="00010B31">
        <w:rPr>
          <w:rFonts w:ascii="Arial" w:eastAsia="Times New Roman" w:hAnsi="Arial" w:cs="Arial"/>
          <w:color w:val="000000"/>
        </w:rPr>
        <w:t xml:space="preserve">ithdraw rates </w:t>
      </w:r>
      <w:r w:rsidR="00010B31" w:rsidRPr="00010B31">
        <w:rPr>
          <w:rFonts w:ascii="Arial" w:eastAsia="Times New Roman" w:hAnsi="Arial" w:cs="Arial"/>
          <w:color w:val="000000"/>
        </w:rPr>
        <w:t>fluctuated between a high of 10% (2022-2023) and a low of 4% (2018-2019)</w:t>
      </w:r>
      <w:r w:rsidR="006A0BA5" w:rsidRPr="00010B31">
        <w:rPr>
          <w:rFonts w:ascii="Arial" w:eastAsia="Times New Roman" w:hAnsi="Arial" w:cs="Arial"/>
          <w:color w:val="000000"/>
        </w:rPr>
        <w:t>.</w:t>
      </w:r>
    </w:p>
    <w:p w14:paraId="79D78A92" w14:textId="568B5279"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Pr="00AB0ADB">
        <w:rPr>
          <w:rFonts w:ascii="Times New Roman" w:eastAsia="Times New Roman" w:hAnsi="Times New Roman" w:cs="Times New Roman"/>
        </w:rPr>
        <w:br/>
      </w:r>
      <w:r w:rsidR="005C75B2">
        <w:rPr>
          <w:rFonts w:ascii="Arial" w:eastAsia="Times New Roman" w:hAnsi="Arial" w:cs="Arial"/>
          <w:noProof/>
          <w:color w:val="000000"/>
        </w:rPr>
        <w:drawing>
          <wp:inline distT="0" distB="0" distL="0" distR="0" wp14:anchorId="39E7C127" wp14:editId="677A9C2A">
            <wp:extent cx="5943600" cy="4287520"/>
            <wp:effectExtent l="19050" t="19050" r="19050" b="1778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MEDA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287520"/>
                    </a:xfrm>
                    <a:prstGeom prst="rect">
                      <a:avLst/>
                    </a:prstGeom>
                    <a:ln>
                      <a:solidFill>
                        <a:schemeClr val="bg2">
                          <a:lumMod val="50000"/>
                        </a:schemeClr>
                      </a:solidFill>
                    </a:ln>
                  </pic:spPr>
                </pic:pic>
              </a:graphicData>
            </a:graphic>
          </wp:inline>
        </w:drawing>
      </w:r>
    </w:p>
    <w:p w14:paraId="39E96EC0" w14:textId="590B1BDC" w:rsidR="008E1072" w:rsidRDefault="00FC77AB" w:rsidP="008E1072">
      <w:pPr>
        <w:spacing w:before="240" w:after="240" w:line="240" w:lineRule="auto"/>
        <w:rPr>
          <w:rFonts w:ascii="Arial" w:eastAsia="Times New Roman" w:hAnsi="Arial" w:cs="Arial"/>
          <w:color w:val="000000"/>
        </w:rPr>
      </w:pPr>
      <w:r w:rsidRPr="00010B31">
        <w:rPr>
          <w:rFonts w:ascii="Arial" w:eastAsia="Times New Roman" w:hAnsi="Arial" w:cs="Arial"/>
          <w:color w:val="000000"/>
        </w:rPr>
        <w:t>Course s</w:t>
      </w:r>
      <w:r w:rsidR="008E1072" w:rsidRPr="00010B31">
        <w:rPr>
          <w:rFonts w:ascii="Arial" w:eastAsia="Times New Roman" w:hAnsi="Arial" w:cs="Arial"/>
          <w:color w:val="000000"/>
        </w:rPr>
        <w:t>uccess rates</w:t>
      </w:r>
      <w:r w:rsidRPr="00010B31">
        <w:rPr>
          <w:rFonts w:ascii="Arial" w:eastAsia="Times New Roman" w:hAnsi="Arial" w:cs="Arial"/>
          <w:color w:val="000000"/>
        </w:rPr>
        <w:t xml:space="preserve"> </w:t>
      </w:r>
      <w:r w:rsidR="00514BBA" w:rsidRPr="00010B31">
        <w:rPr>
          <w:rFonts w:ascii="Arial" w:eastAsia="Times New Roman" w:hAnsi="Arial" w:cs="Arial"/>
          <w:color w:val="000000"/>
        </w:rPr>
        <w:t xml:space="preserve">in </w:t>
      </w:r>
      <w:r w:rsidR="004D68E5" w:rsidRPr="00010B31">
        <w:rPr>
          <w:rFonts w:ascii="Arial" w:eastAsia="Times New Roman" w:hAnsi="Arial" w:cs="Arial"/>
          <w:color w:val="000000"/>
        </w:rPr>
        <w:t>Medical Assisting</w:t>
      </w:r>
      <w:r w:rsidR="00514BBA" w:rsidRPr="00010B31">
        <w:rPr>
          <w:rFonts w:ascii="Arial" w:eastAsia="Times New Roman" w:hAnsi="Arial" w:cs="Arial"/>
          <w:color w:val="000000"/>
        </w:rPr>
        <w:t xml:space="preserve"> </w:t>
      </w:r>
      <w:r w:rsidR="008E1072" w:rsidRPr="00010B31">
        <w:rPr>
          <w:rFonts w:ascii="Arial" w:eastAsia="Times New Roman" w:hAnsi="Arial" w:cs="Arial"/>
          <w:color w:val="000000"/>
        </w:rPr>
        <w:t xml:space="preserve">ranged from </w:t>
      </w:r>
      <w:r w:rsidRPr="00010B31">
        <w:rPr>
          <w:rFonts w:ascii="Arial" w:eastAsia="Times New Roman" w:hAnsi="Arial" w:cs="Arial"/>
          <w:color w:val="000000"/>
        </w:rPr>
        <w:t xml:space="preserve">a minimum of </w:t>
      </w:r>
      <w:r w:rsidR="00010B31" w:rsidRPr="00010B31">
        <w:rPr>
          <w:rFonts w:ascii="Arial" w:eastAsia="Times New Roman" w:hAnsi="Arial" w:cs="Arial"/>
          <w:color w:val="000000"/>
        </w:rPr>
        <w:t>69</w:t>
      </w:r>
      <w:r w:rsidR="008E1072" w:rsidRPr="00010B31">
        <w:rPr>
          <w:rFonts w:ascii="Arial" w:eastAsia="Times New Roman" w:hAnsi="Arial" w:cs="Arial"/>
          <w:color w:val="000000"/>
        </w:rPr>
        <w:t xml:space="preserve">% in </w:t>
      </w:r>
      <w:r w:rsidR="00010B31" w:rsidRPr="00010B31">
        <w:rPr>
          <w:rFonts w:ascii="Arial" w:eastAsia="Times New Roman" w:hAnsi="Arial" w:cs="Arial"/>
          <w:color w:val="000000"/>
        </w:rPr>
        <w:t>MEDA</w:t>
      </w:r>
      <w:r w:rsidR="00514BBA" w:rsidRPr="00010B31">
        <w:rPr>
          <w:rFonts w:ascii="Arial" w:eastAsia="Times New Roman" w:hAnsi="Arial" w:cs="Arial"/>
          <w:color w:val="000000"/>
        </w:rPr>
        <w:t xml:space="preserve"> 10</w:t>
      </w:r>
      <w:r w:rsidR="00010B31" w:rsidRPr="00010B31">
        <w:rPr>
          <w:rFonts w:ascii="Arial" w:eastAsia="Times New Roman" w:hAnsi="Arial" w:cs="Arial"/>
          <w:color w:val="000000"/>
        </w:rPr>
        <w:t>0</w:t>
      </w:r>
      <w:r w:rsidR="008E1072" w:rsidRPr="00010B31">
        <w:rPr>
          <w:rFonts w:ascii="Arial" w:eastAsia="Times New Roman" w:hAnsi="Arial" w:cs="Arial"/>
          <w:color w:val="000000"/>
        </w:rPr>
        <w:t xml:space="preserve"> to a </w:t>
      </w:r>
      <w:r w:rsidRPr="00010B31">
        <w:rPr>
          <w:rFonts w:ascii="Arial" w:eastAsia="Times New Roman" w:hAnsi="Arial" w:cs="Arial"/>
          <w:color w:val="000000"/>
        </w:rPr>
        <w:t>maximum</w:t>
      </w:r>
      <w:r w:rsidR="008E1072" w:rsidRPr="00010B31">
        <w:rPr>
          <w:rFonts w:ascii="Arial" w:eastAsia="Times New Roman" w:hAnsi="Arial" w:cs="Arial"/>
          <w:color w:val="000000"/>
        </w:rPr>
        <w:t xml:space="preserve"> of </w:t>
      </w:r>
      <w:r w:rsidR="00010B31" w:rsidRPr="00010B31">
        <w:rPr>
          <w:rFonts w:ascii="Arial" w:eastAsia="Times New Roman" w:hAnsi="Arial" w:cs="Arial"/>
          <w:color w:val="000000"/>
        </w:rPr>
        <w:t>99</w:t>
      </w:r>
      <w:r w:rsidR="008E1072" w:rsidRPr="00010B31">
        <w:rPr>
          <w:rFonts w:ascii="Arial" w:eastAsia="Times New Roman" w:hAnsi="Arial" w:cs="Arial"/>
          <w:color w:val="000000"/>
        </w:rPr>
        <w:t xml:space="preserve">% in </w:t>
      </w:r>
      <w:r w:rsidR="00010B31" w:rsidRPr="00010B31">
        <w:rPr>
          <w:rFonts w:ascii="Arial" w:eastAsia="Times New Roman" w:hAnsi="Arial" w:cs="Arial"/>
          <w:color w:val="000000"/>
        </w:rPr>
        <w:t>MEDA</w:t>
      </w:r>
      <w:r w:rsidR="008E1072" w:rsidRPr="00010B31">
        <w:rPr>
          <w:rFonts w:ascii="Arial" w:eastAsia="Times New Roman" w:hAnsi="Arial" w:cs="Arial"/>
          <w:color w:val="000000"/>
        </w:rPr>
        <w:t xml:space="preserve"> </w:t>
      </w:r>
      <w:r w:rsidR="00514BBA" w:rsidRPr="00010B31">
        <w:rPr>
          <w:rFonts w:ascii="Arial" w:eastAsia="Times New Roman" w:hAnsi="Arial" w:cs="Arial"/>
          <w:color w:val="000000"/>
        </w:rPr>
        <w:t>16</w:t>
      </w:r>
      <w:r w:rsidR="00010B31" w:rsidRPr="00010B31">
        <w:rPr>
          <w:rFonts w:ascii="Arial" w:eastAsia="Times New Roman" w:hAnsi="Arial" w:cs="Arial"/>
          <w:color w:val="000000"/>
        </w:rPr>
        <w:t>5</w:t>
      </w:r>
      <w:r w:rsidR="008E1072" w:rsidRPr="00010B31">
        <w:rPr>
          <w:rFonts w:ascii="Arial" w:eastAsia="Times New Roman" w:hAnsi="Arial" w:cs="Arial"/>
          <w:color w:val="000000"/>
        </w:rPr>
        <w:t xml:space="preserve">. </w:t>
      </w:r>
      <w:r w:rsidR="00010B31" w:rsidRPr="00010B31">
        <w:rPr>
          <w:rFonts w:ascii="Arial" w:eastAsia="Times New Roman" w:hAnsi="Arial" w:cs="Arial"/>
          <w:color w:val="000000"/>
        </w:rPr>
        <w:t>Course w</w:t>
      </w:r>
      <w:r w:rsidR="008E1072" w:rsidRPr="00010B31">
        <w:rPr>
          <w:rFonts w:ascii="Arial" w:eastAsia="Times New Roman" w:hAnsi="Arial" w:cs="Arial"/>
          <w:color w:val="000000"/>
        </w:rPr>
        <w:t xml:space="preserve">ithdraw rates </w:t>
      </w:r>
      <w:r w:rsidR="00514BBA" w:rsidRPr="00010B31">
        <w:rPr>
          <w:rFonts w:ascii="Arial" w:eastAsia="Times New Roman" w:hAnsi="Arial" w:cs="Arial"/>
          <w:color w:val="000000"/>
        </w:rPr>
        <w:t xml:space="preserve">in </w:t>
      </w:r>
      <w:r w:rsidR="004D68E5" w:rsidRPr="00010B31">
        <w:rPr>
          <w:rFonts w:ascii="Arial" w:eastAsia="Times New Roman" w:hAnsi="Arial" w:cs="Arial"/>
          <w:color w:val="000000"/>
        </w:rPr>
        <w:t>Medical Assisting</w:t>
      </w:r>
      <w:r w:rsidR="00514BBA" w:rsidRPr="00010B31">
        <w:rPr>
          <w:rFonts w:ascii="Arial" w:eastAsia="Times New Roman" w:hAnsi="Arial" w:cs="Arial"/>
          <w:color w:val="000000"/>
        </w:rPr>
        <w:t xml:space="preserve"> </w:t>
      </w:r>
      <w:r w:rsidR="008E1072" w:rsidRPr="00010B31">
        <w:rPr>
          <w:rFonts w:ascii="Arial" w:eastAsia="Times New Roman" w:hAnsi="Arial" w:cs="Arial"/>
          <w:color w:val="000000"/>
        </w:rPr>
        <w:t xml:space="preserve">ranged from a </w:t>
      </w:r>
      <w:r w:rsidRPr="00010B31">
        <w:rPr>
          <w:rFonts w:ascii="Arial" w:eastAsia="Times New Roman" w:hAnsi="Arial" w:cs="Arial"/>
          <w:color w:val="000000"/>
        </w:rPr>
        <w:t>max</w:t>
      </w:r>
      <w:r w:rsidR="008E1072" w:rsidRPr="00010B31">
        <w:rPr>
          <w:rFonts w:ascii="Arial" w:eastAsia="Times New Roman" w:hAnsi="Arial" w:cs="Arial"/>
          <w:color w:val="000000"/>
        </w:rPr>
        <w:t xml:space="preserve"> of </w:t>
      </w:r>
      <w:r w:rsidR="00010B31" w:rsidRPr="00010B31">
        <w:rPr>
          <w:rFonts w:ascii="Arial" w:eastAsia="Times New Roman" w:hAnsi="Arial" w:cs="Arial"/>
          <w:color w:val="000000"/>
        </w:rPr>
        <w:t>16</w:t>
      </w:r>
      <w:r w:rsidR="008E1072" w:rsidRPr="00010B31">
        <w:rPr>
          <w:rFonts w:ascii="Arial" w:eastAsia="Times New Roman" w:hAnsi="Arial" w:cs="Arial"/>
          <w:color w:val="000000"/>
        </w:rPr>
        <w:t xml:space="preserve">% </w:t>
      </w:r>
      <w:r w:rsidRPr="00010B31">
        <w:rPr>
          <w:rFonts w:ascii="Arial" w:eastAsia="Times New Roman" w:hAnsi="Arial" w:cs="Arial"/>
          <w:color w:val="000000"/>
        </w:rPr>
        <w:t>in</w:t>
      </w:r>
      <w:r w:rsidR="008E1072" w:rsidRPr="00010B31">
        <w:rPr>
          <w:rFonts w:ascii="Arial" w:eastAsia="Times New Roman" w:hAnsi="Arial" w:cs="Arial"/>
          <w:color w:val="000000"/>
        </w:rPr>
        <w:t xml:space="preserve"> </w:t>
      </w:r>
      <w:r w:rsidR="00010B31" w:rsidRPr="00010B31">
        <w:rPr>
          <w:rFonts w:ascii="Arial" w:eastAsia="Times New Roman" w:hAnsi="Arial" w:cs="Arial"/>
          <w:color w:val="000000"/>
        </w:rPr>
        <w:t>MEDA</w:t>
      </w:r>
      <w:r w:rsidR="00514BBA" w:rsidRPr="00010B31">
        <w:rPr>
          <w:rFonts w:ascii="Arial" w:eastAsia="Times New Roman" w:hAnsi="Arial" w:cs="Arial"/>
          <w:color w:val="000000"/>
        </w:rPr>
        <w:t xml:space="preserve"> </w:t>
      </w:r>
      <w:r w:rsidR="00010B31" w:rsidRPr="00010B31">
        <w:rPr>
          <w:rFonts w:ascii="Arial" w:eastAsia="Times New Roman" w:hAnsi="Arial" w:cs="Arial"/>
          <w:color w:val="000000"/>
        </w:rPr>
        <w:t>190</w:t>
      </w:r>
      <w:r w:rsidR="00514BBA" w:rsidRPr="00010B31">
        <w:rPr>
          <w:rFonts w:ascii="Arial" w:eastAsia="Times New Roman" w:hAnsi="Arial" w:cs="Arial"/>
          <w:color w:val="000000"/>
        </w:rPr>
        <w:t xml:space="preserve"> </w:t>
      </w:r>
      <w:r w:rsidR="008E1072" w:rsidRPr="00010B31">
        <w:rPr>
          <w:rFonts w:ascii="Arial" w:eastAsia="Times New Roman" w:hAnsi="Arial" w:cs="Arial"/>
          <w:color w:val="000000"/>
        </w:rPr>
        <w:t xml:space="preserve">to a </w:t>
      </w:r>
      <w:r w:rsidRPr="00010B31">
        <w:rPr>
          <w:rFonts w:ascii="Arial" w:eastAsia="Times New Roman" w:hAnsi="Arial" w:cs="Arial"/>
          <w:color w:val="000000"/>
        </w:rPr>
        <w:t>minimum</w:t>
      </w:r>
      <w:r w:rsidR="008E1072" w:rsidRPr="00010B31">
        <w:rPr>
          <w:rFonts w:ascii="Arial" w:eastAsia="Times New Roman" w:hAnsi="Arial" w:cs="Arial"/>
          <w:color w:val="000000"/>
        </w:rPr>
        <w:t xml:space="preserve"> of </w:t>
      </w:r>
      <w:r w:rsidR="00010B31" w:rsidRPr="00010B31">
        <w:rPr>
          <w:rFonts w:ascii="Arial" w:eastAsia="Times New Roman" w:hAnsi="Arial" w:cs="Arial"/>
          <w:color w:val="000000"/>
        </w:rPr>
        <w:t>0</w:t>
      </w:r>
      <w:r w:rsidR="008E1072" w:rsidRPr="00010B31">
        <w:rPr>
          <w:rFonts w:ascii="Arial" w:eastAsia="Times New Roman" w:hAnsi="Arial" w:cs="Arial"/>
          <w:color w:val="000000"/>
        </w:rPr>
        <w:t xml:space="preserve">% </w:t>
      </w:r>
      <w:r w:rsidRPr="00010B31">
        <w:rPr>
          <w:rFonts w:ascii="Arial" w:eastAsia="Times New Roman" w:hAnsi="Arial" w:cs="Arial"/>
          <w:color w:val="000000"/>
        </w:rPr>
        <w:t>in</w:t>
      </w:r>
      <w:r w:rsidR="008E1072" w:rsidRPr="00010B31">
        <w:rPr>
          <w:rFonts w:ascii="Arial" w:eastAsia="Times New Roman" w:hAnsi="Arial" w:cs="Arial"/>
          <w:color w:val="000000"/>
        </w:rPr>
        <w:t xml:space="preserve"> </w:t>
      </w:r>
      <w:r w:rsidR="00010B31" w:rsidRPr="00010B31">
        <w:rPr>
          <w:rFonts w:ascii="Arial" w:eastAsia="Times New Roman" w:hAnsi="Arial" w:cs="Arial"/>
          <w:color w:val="000000"/>
        </w:rPr>
        <w:t>MEDA 166 and MEDA 169</w:t>
      </w:r>
      <w:r w:rsidR="008E1072" w:rsidRPr="00010B31">
        <w:rPr>
          <w:rFonts w:ascii="Arial" w:eastAsia="Times New Roman" w:hAnsi="Arial" w:cs="Arial"/>
          <w:color w:val="000000"/>
        </w:rPr>
        <w:t>.</w:t>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06F520E2"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983422">
        <w:rPr>
          <w:rFonts w:ascii="Arial" w:eastAsia="Times New Roman" w:hAnsi="Arial" w:cs="Arial"/>
        </w:rPr>
        <w:t>in</w:t>
      </w:r>
      <w:r w:rsidR="008A32E0">
        <w:rPr>
          <w:rFonts w:ascii="Arial" w:eastAsia="Times New Roman" w:hAnsi="Arial" w:cs="Arial"/>
        </w:rPr>
        <w:t xml:space="preserve"> Medical Assisting </w:t>
      </w:r>
      <w:r w:rsidR="00B90196">
        <w:rPr>
          <w:rFonts w:ascii="Arial" w:eastAsia="Times New Roman" w:hAnsi="Arial" w:cs="Arial"/>
        </w:rPr>
        <w:t>i</w:t>
      </w:r>
      <w:r w:rsidR="00C66BA1">
        <w:rPr>
          <w:rFonts w:ascii="Arial" w:eastAsia="Times New Roman" w:hAnsi="Arial" w:cs="Arial"/>
        </w:rPr>
        <w:t>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Student subgroups</w:t>
      </w:r>
      <w:r w:rsidR="00071FE1">
        <w:rPr>
          <w:rFonts w:ascii="Arial" w:eastAsia="Times New Roman" w:hAnsi="Arial" w:cs="Arial"/>
          <w:color w:val="000000"/>
        </w:rPr>
        <w:t xml:space="preserve"> that may have been</w:t>
      </w:r>
      <w:r w:rsidR="006657F8">
        <w:rPr>
          <w:rFonts w:ascii="Arial" w:eastAsia="Times New Roman" w:hAnsi="Arial" w:cs="Arial"/>
          <w:color w:val="000000"/>
        </w:rPr>
        <w:t xml:space="preserve"> disproportionately impacted</w:t>
      </w:r>
      <w:r w:rsidR="00071FE1">
        <w:rPr>
          <w:rFonts w:ascii="Arial" w:eastAsia="Times New Roman" w:hAnsi="Arial" w:cs="Arial"/>
          <w:color w:val="000000"/>
        </w:rPr>
        <w:t xml:space="preserve"> </w:t>
      </w:r>
      <w:r w:rsidR="008A32E0">
        <w:rPr>
          <w:rFonts w:ascii="Arial" w:eastAsia="Times New Roman" w:hAnsi="Arial" w:cs="Arial"/>
        </w:rPr>
        <w:t xml:space="preserve">in Medical Assisting </w:t>
      </w:r>
      <w:r w:rsidR="006657F8">
        <w:rPr>
          <w:rFonts w:ascii="Arial" w:eastAsia="Times New Roman" w:hAnsi="Arial" w:cs="Arial"/>
          <w:color w:val="000000"/>
        </w:rPr>
        <w:t>a</w:t>
      </w:r>
      <w:r w:rsidR="00071FE1">
        <w:rPr>
          <w:rFonts w:ascii="Arial" w:eastAsia="Times New Roman" w:hAnsi="Arial" w:cs="Arial"/>
          <w:color w:val="000000"/>
        </w:rPr>
        <w:t xml:space="preserve">ppear </w:t>
      </w:r>
      <w:r w:rsidR="006657F8">
        <w:rPr>
          <w:rFonts w:ascii="Arial" w:eastAsia="Times New Roman" w:hAnsi="Arial" w:cs="Arial"/>
          <w:color w:val="000000"/>
        </w:rPr>
        <w:t>below</w:t>
      </w:r>
      <w:r w:rsidR="00071FE1">
        <w:rPr>
          <w:rFonts w:ascii="Arial" w:eastAsia="Times New Roman" w:hAnsi="Arial" w:cs="Arial"/>
          <w:color w:val="000000"/>
        </w:rPr>
        <w:t xml:space="preserve"> (see Table 1-3).</w:t>
      </w:r>
      <w:r w:rsidR="0021585C">
        <w:rPr>
          <w:rFonts w:ascii="Arial" w:eastAsia="Times New Roman" w:hAnsi="Arial" w:cs="Arial"/>
          <w:color w:val="000000"/>
        </w:rPr>
        <w:t xml:space="preserve"> </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5B48B953" w14:textId="370B3D08" w:rsidR="00660FB7" w:rsidRPr="00271D10" w:rsidRDefault="00071FE1" w:rsidP="00660FB7">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Enrollment data revealed</w:t>
      </w:r>
      <w:r w:rsidR="001A4644">
        <w:rPr>
          <w:rFonts w:ascii="Arial" w:eastAsia="Times New Roman" w:hAnsi="Arial" w:cs="Arial"/>
        </w:rPr>
        <w:t xml:space="preserve"> five </w:t>
      </w:r>
      <w:r w:rsidR="006D0A06" w:rsidRPr="001F284B">
        <w:rPr>
          <w:rFonts w:ascii="Arial" w:eastAsia="Times New Roman" w:hAnsi="Arial" w:cs="Arial"/>
        </w:rPr>
        <w:t xml:space="preserve">student </w:t>
      </w:r>
      <w:r w:rsidR="00E579CF" w:rsidRPr="001F284B">
        <w:rPr>
          <w:rFonts w:ascii="Arial" w:eastAsia="Times New Roman" w:hAnsi="Arial" w:cs="Arial"/>
        </w:rPr>
        <w:t>sub</w:t>
      </w:r>
      <w:r w:rsidR="006D0A06" w:rsidRPr="001F284B">
        <w:rPr>
          <w:rFonts w:ascii="Arial" w:eastAsia="Times New Roman" w:hAnsi="Arial" w:cs="Arial"/>
        </w:rPr>
        <w:t>groups</w:t>
      </w:r>
      <w:r w:rsidR="00E579CF" w:rsidRPr="001F284B">
        <w:rPr>
          <w:rFonts w:ascii="Arial" w:eastAsia="Times New Roman" w:hAnsi="Arial" w:cs="Arial"/>
        </w:rPr>
        <w:t xml:space="preserve"> </w:t>
      </w:r>
      <w:r w:rsidR="003737AB">
        <w:rPr>
          <w:rFonts w:ascii="Arial" w:eastAsia="Times New Roman" w:hAnsi="Arial" w:cs="Arial"/>
        </w:rPr>
        <w:t xml:space="preserve">were </w:t>
      </w:r>
      <w:r w:rsidR="00E579CF" w:rsidRPr="001F284B">
        <w:rPr>
          <w:rFonts w:ascii="Arial" w:eastAsia="Times New Roman" w:hAnsi="Arial" w:cs="Arial"/>
        </w:rPr>
        <w:t xml:space="preserve">underrepresented </w:t>
      </w:r>
      <w:r w:rsidR="008A32E0">
        <w:rPr>
          <w:rFonts w:ascii="Arial" w:eastAsia="Times New Roman" w:hAnsi="Arial" w:cs="Arial"/>
        </w:rPr>
        <w:t xml:space="preserve">in Medical Assisting </w:t>
      </w:r>
      <w:r w:rsidR="00E579CF" w:rsidRPr="001F284B">
        <w:rPr>
          <w:rFonts w:ascii="Arial" w:eastAsia="Times New Roman" w:hAnsi="Arial" w:cs="Arial"/>
        </w:rPr>
        <w:t>classes</w:t>
      </w:r>
      <w:r w:rsidR="00D63818" w:rsidRPr="001F284B">
        <w:rPr>
          <w:rFonts w:ascii="Arial" w:eastAsia="Times New Roman" w:hAnsi="Arial" w:cs="Arial"/>
        </w:rPr>
        <w:t xml:space="preserve"> compared to</w:t>
      </w:r>
      <w:r w:rsidR="00364669" w:rsidRPr="001F284B">
        <w:rPr>
          <w:rFonts w:ascii="Arial" w:eastAsia="Times New Roman" w:hAnsi="Arial" w:cs="Arial"/>
        </w:rPr>
        <w:t xml:space="preserve"> </w:t>
      </w:r>
      <w:r w:rsidR="00D63818" w:rsidRPr="001F284B">
        <w:rPr>
          <w:rFonts w:ascii="Arial" w:eastAsia="Times New Roman" w:hAnsi="Arial" w:cs="Arial"/>
        </w:rPr>
        <w:t>the colleg</w:t>
      </w:r>
      <w:r w:rsidR="00737D1F" w:rsidRPr="001F284B">
        <w:rPr>
          <w:rFonts w:ascii="Arial" w:eastAsia="Times New Roman" w:hAnsi="Arial" w:cs="Arial"/>
        </w:rPr>
        <w:t>e</w:t>
      </w:r>
      <w:r w:rsidRPr="001F284B">
        <w:rPr>
          <w:rFonts w:ascii="Arial" w:eastAsia="Times New Roman" w:hAnsi="Arial" w:cs="Arial"/>
        </w:rPr>
        <w:t>-wide</w:t>
      </w:r>
      <w:r w:rsidR="00737D1F" w:rsidRPr="001F284B">
        <w:rPr>
          <w:rFonts w:ascii="Arial" w:eastAsia="Times New Roman" w:hAnsi="Arial" w:cs="Arial"/>
        </w:rPr>
        <w:t xml:space="preserve"> </w:t>
      </w:r>
      <w:r w:rsidR="004D0BFA" w:rsidRPr="001F284B">
        <w:rPr>
          <w:rFonts w:ascii="Arial" w:eastAsia="Times New Roman" w:hAnsi="Arial" w:cs="Arial"/>
        </w:rPr>
        <w:t>population</w:t>
      </w:r>
      <w:r w:rsidR="00414239" w:rsidRPr="001F284B">
        <w:rPr>
          <w:rFonts w:ascii="Arial" w:eastAsia="Times New Roman" w:hAnsi="Arial" w:cs="Arial"/>
        </w:rPr>
        <w:t xml:space="preserve"> </w:t>
      </w:r>
      <w:r w:rsidR="002B12AF" w:rsidRPr="001F284B">
        <w:rPr>
          <w:rFonts w:ascii="Arial" w:eastAsia="Times New Roman" w:hAnsi="Arial" w:cs="Arial"/>
        </w:rPr>
        <w:t>(see Table 1)</w:t>
      </w:r>
      <w:r w:rsidR="006D0A06" w:rsidRPr="001F284B">
        <w:rPr>
          <w:rFonts w:ascii="Arial" w:eastAsia="Times New Roman" w:hAnsi="Arial" w:cs="Arial"/>
        </w:rPr>
        <w:t>.</w:t>
      </w:r>
      <w:r w:rsidR="006D0A06">
        <w:rPr>
          <w:rFonts w:ascii="Arial" w:eastAsia="Times New Roman" w:hAnsi="Arial" w:cs="Arial"/>
        </w:rPr>
        <w:t xml:space="preserve"> </w:t>
      </w:r>
      <w:r w:rsidR="00116D65">
        <w:rPr>
          <w:rFonts w:ascii="Arial" w:eastAsia="Times New Roman" w:hAnsi="Arial" w:cs="Arial"/>
        </w:rPr>
        <w:t xml:space="preserve">For example, </w:t>
      </w:r>
      <w:r w:rsidR="00116D65" w:rsidRPr="00116D65">
        <w:rPr>
          <w:rFonts w:ascii="Arial" w:eastAsia="Times New Roman" w:hAnsi="Arial" w:cs="Arial"/>
        </w:rPr>
        <w:t>t</w:t>
      </w:r>
      <w:r w:rsidR="00660FB7" w:rsidRPr="00116D65">
        <w:rPr>
          <w:rFonts w:ascii="Arial" w:eastAsia="Times New Roman" w:hAnsi="Arial" w:cs="Arial"/>
        </w:rPr>
        <w:t xml:space="preserve">he proportion of </w:t>
      </w:r>
      <w:r w:rsidR="001A4644" w:rsidRPr="00116D65">
        <w:rPr>
          <w:rFonts w:ascii="Arial" w:eastAsia="Times New Roman" w:hAnsi="Arial" w:cs="Arial"/>
        </w:rPr>
        <w:t xml:space="preserve">male </w:t>
      </w:r>
      <w:r w:rsidR="00660FB7" w:rsidRPr="00116D65">
        <w:rPr>
          <w:rFonts w:ascii="Arial" w:eastAsia="Times New Roman" w:hAnsi="Arial" w:cs="Arial"/>
        </w:rPr>
        <w:t xml:space="preserve">students in </w:t>
      </w:r>
      <w:r w:rsidR="004D68E5" w:rsidRPr="00116D65">
        <w:rPr>
          <w:rFonts w:ascii="Arial" w:eastAsia="Times New Roman" w:hAnsi="Arial" w:cs="Arial"/>
        </w:rPr>
        <w:t>Medical Assisting</w:t>
      </w:r>
      <w:r w:rsidR="001A4644" w:rsidRPr="00116D65">
        <w:rPr>
          <w:rFonts w:ascii="Arial" w:eastAsia="Times New Roman" w:hAnsi="Arial" w:cs="Arial"/>
        </w:rPr>
        <w:t xml:space="preserve"> (and in synchronous MEDA sections)</w:t>
      </w:r>
      <w:r w:rsidR="00660FB7" w:rsidRPr="00116D65">
        <w:rPr>
          <w:rFonts w:ascii="Arial" w:eastAsia="Times New Roman" w:hAnsi="Arial" w:cs="Arial"/>
        </w:rPr>
        <w:t xml:space="preserve"> </w:t>
      </w:r>
      <w:r w:rsidR="001A4644" w:rsidRPr="00116D65">
        <w:rPr>
          <w:rFonts w:ascii="Arial" w:eastAsia="Times New Roman" w:hAnsi="Arial" w:cs="Arial"/>
        </w:rPr>
        <w:t>is 2</w:t>
      </w:r>
      <w:r w:rsidR="00660FB7" w:rsidRPr="00116D65">
        <w:rPr>
          <w:rFonts w:ascii="Arial" w:eastAsia="Times New Roman" w:hAnsi="Arial" w:cs="Arial"/>
        </w:rPr>
        <w:t>9.</w:t>
      </w:r>
      <w:r w:rsidR="001A4644" w:rsidRPr="00116D65">
        <w:rPr>
          <w:rFonts w:ascii="Arial" w:eastAsia="Times New Roman" w:hAnsi="Arial" w:cs="Arial"/>
        </w:rPr>
        <w:t>5</w:t>
      </w:r>
      <w:r w:rsidR="00660FB7" w:rsidRPr="00116D65">
        <w:rPr>
          <w:rFonts w:ascii="Arial" w:eastAsia="Times New Roman" w:hAnsi="Arial" w:cs="Arial"/>
        </w:rPr>
        <w:t xml:space="preserve"> percentage points lower than the proportion of </w:t>
      </w:r>
      <w:r w:rsidR="001A4644" w:rsidRPr="00116D65">
        <w:rPr>
          <w:rFonts w:ascii="Arial" w:eastAsia="Times New Roman" w:hAnsi="Arial" w:cs="Arial"/>
        </w:rPr>
        <w:t xml:space="preserve">male </w:t>
      </w:r>
      <w:r w:rsidR="00660FB7" w:rsidRPr="00116D65">
        <w:rPr>
          <w:rFonts w:ascii="Arial" w:eastAsia="Times New Roman" w:hAnsi="Arial" w:cs="Arial"/>
        </w:rPr>
        <w:t>students enrolled college-wide.</w:t>
      </w:r>
    </w:p>
    <w:p w14:paraId="4ACBCF4A" w14:textId="433ECCEF" w:rsidR="00D757CF" w:rsidRDefault="006D0A06" w:rsidP="00660FB7">
      <w:pPr>
        <w:spacing w:line="276" w:lineRule="auto"/>
        <w:rPr>
          <w:rFonts w:ascii="Arial" w:eastAsia="Times New Roman" w:hAnsi="Arial" w:cs="Arial"/>
          <w:color w:val="000000"/>
        </w:rPr>
      </w:pPr>
      <w:r w:rsidRPr="00B90196">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B90196" w14:paraId="13F15B17" w14:textId="376452E0" w:rsidTr="001C74E4">
        <w:tc>
          <w:tcPr>
            <w:tcW w:w="5665" w:type="dxa"/>
            <w:vAlign w:val="center"/>
          </w:tcPr>
          <w:p w14:paraId="769EFC41" w14:textId="17903AC8" w:rsidR="001C74E4" w:rsidRPr="001A4644" w:rsidRDefault="001C74E4" w:rsidP="000B759A">
            <w:pPr>
              <w:rPr>
                <w:rFonts w:ascii="Arial" w:eastAsia="Times New Roman" w:hAnsi="Arial" w:cs="Arial"/>
                <w:b/>
                <w:color w:val="000000"/>
              </w:rPr>
            </w:pPr>
            <w:r w:rsidRPr="001A4644">
              <w:rPr>
                <w:rFonts w:ascii="Arial" w:eastAsia="Times New Roman" w:hAnsi="Arial" w:cs="Arial"/>
                <w:b/>
                <w:color w:val="000000"/>
              </w:rPr>
              <w:t>Student Subgroup</w:t>
            </w:r>
          </w:p>
        </w:tc>
        <w:tc>
          <w:tcPr>
            <w:tcW w:w="1260" w:type="dxa"/>
            <w:vAlign w:val="center"/>
          </w:tcPr>
          <w:p w14:paraId="4C40416C" w14:textId="0277AF7D" w:rsidR="001C74E4" w:rsidRPr="001A4644" w:rsidRDefault="001C74E4" w:rsidP="000B759A">
            <w:pPr>
              <w:jc w:val="right"/>
              <w:rPr>
                <w:rFonts w:ascii="Arial" w:eastAsia="Times New Roman" w:hAnsi="Arial" w:cs="Arial"/>
                <w:b/>
                <w:color w:val="000000"/>
              </w:rPr>
            </w:pPr>
            <w:r w:rsidRPr="001A4644">
              <w:rPr>
                <w:rFonts w:ascii="Arial" w:eastAsia="Times New Roman" w:hAnsi="Arial" w:cs="Arial"/>
                <w:b/>
                <w:color w:val="000000"/>
              </w:rPr>
              <w:t>Gap</w:t>
            </w:r>
          </w:p>
        </w:tc>
      </w:tr>
      <w:tr w:rsidR="001C74E4" w:rsidRPr="00B90196" w14:paraId="77B6D350" w14:textId="17ACF87D" w:rsidTr="001C74E4">
        <w:tc>
          <w:tcPr>
            <w:tcW w:w="5665" w:type="dxa"/>
            <w:vAlign w:val="center"/>
          </w:tcPr>
          <w:p w14:paraId="1611C034" w14:textId="58E76602" w:rsidR="001C74E4" w:rsidRPr="001A4644" w:rsidRDefault="00BC3772" w:rsidP="000B759A">
            <w:pPr>
              <w:rPr>
                <w:rFonts w:ascii="Arial" w:eastAsia="Times New Roman" w:hAnsi="Arial" w:cs="Arial"/>
                <w:color w:val="000000"/>
              </w:rPr>
            </w:pPr>
            <w:r w:rsidRPr="001A4644">
              <w:rPr>
                <w:rFonts w:ascii="Arial" w:eastAsia="Times New Roman" w:hAnsi="Arial" w:cs="Arial"/>
                <w:color w:val="000000"/>
              </w:rPr>
              <w:t>Males</w:t>
            </w:r>
          </w:p>
        </w:tc>
        <w:tc>
          <w:tcPr>
            <w:tcW w:w="1260" w:type="dxa"/>
            <w:vAlign w:val="center"/>
          </w:tcPr>
          <w:p w14:paraId="42075957" w14:textId="67DB0196" w:rsidR="001C74E4" w:rsidRPr="001A4644" w:rsidRDefault="001C74E4" w:rsidP="001E7537">
            <w:pPr>
              <w:jc w:val="right"/>
              <w:rPr>
                <w:rFonts w:ascii="Arial" w:eastAsia="Times New Roman" w:hAnsi="Arial" w:cs="Arial"/>
                <w:color w:val="000000"/>
              </w:rPr>
            </w:pPr>
            <w:r w:rsidRPr="001A4644">
              <w:rPr>
                <w:rFonts w:ascii="Arial" w:eastAsia="Times New Roman" w:hAnsi="Arial" w:cs="Arial"/>
                <w:color w:val="000000"/>
              </w:rPr>
              <w:t>-</w:t>
            </w:r>
            <w:r w:rsidR="00BC3772" w:rsidRPr="001A4644">
              <w:rPr>
                <w:rFonts w:ascii="Arial" w:eastAsia="Times New Roman" w:hAnsi="Arial" w:cs="Arial"/>
                <w:color w:val="000000"/>
              </w:rPr>
              <w:t>2</w:t>
            </w:r>
            <w:r w:rsidRPr="001A4644">
              <w:rPr>
                <w:rFonts w:ascii="Arial" w:eastAsia="Times New Roman" w:hAnsi="Arial" w:cs="Arial"/>
                <w:color w:val="000000"/>
              </w:rPr>
              <w:t>9.</w:t>
            </w:r>
            <w:r w:rsidR="00BC3772" w:rsidRPr="001A4644">
              <w:rPr>
                <w:rFonts w:ascii="Arial" w:eastAsia="Times New Roman" w:hAnsi="Arial" w:cs="Arial"/>
                <w:color w:val="000000"/>
              </w:rPr>
              <w:t>5</w:t>
            </w:r>
          </w:p>
        </w:tc>
      </w:tr>
      <w:tr w:rsidR="001A4644" w:rsidRPr="00B90196" w14:paraId="13F30854" w14:textId="77777777" w:rsidTr="001C74E4">
        <w:tc>
          <w:tcPr>
            <w:tcW w:w="5665" w:type="dxa"/>
            <w:vAlign w:val="center"/>
          </w:tcPr>
          <w:p w14:paraId="0C6344C9" w14:textId="475D0C2A" w:rsidR="001A4644" w:rsidRPr="00B90196" w:rsidRDefault="001A4644" w:rsidP="001A4644">
            <w:pPr>
              <w:rPr>
                <w:rFonts w:ascii="Arial" w:eastAsia="Times New Roman" w:hAnsi="Arial" w:cs="Arial"/>
                <w:color w:val="000000"/>
                <w:highlight w:val="yellow"/>
              </w:rPr>
            </w:pPr>
            <w:r w:rsidRPr="001A4644">
              <w:rPr>
                <w:rFonts w:ascii="Arial" w:eastAsia="Times New Roman" w:hAnsi="Arial" w:cs="Arial"/>
                <w:color w:val="000000"/>
              </w:rPr>
              <w:t>Course Modality Synchronous: Males</w:t>
            </w:r>
          </w:p>
        </w:tc>
        <w:tc>
          <w:tcPr>
            <w:tcW w:w="1260" w:type="dxa"/>
            <w:vAlign w:val="center"/>
          </w:tcPr>
          <w:p w14:paraId="57528632" w14:textId="77FFDBA5" w:rsidR="001A4644" w:rsidRPr="00B90196" w:rsidRDefault="001A4644" w:rsidP="001A4644">
            <w:pPr>
              <w:jc w:val="right"/>
              <w:rPr>
                <w:rFonts w:ascii="Arial" w:eastAsia="Times New Roman" w:hAnsi="Arial" w:cs="Arial"/>
                <w:color w:val="000000"/>
                <w:highlight w:val="yellow"/>
              </w:rPr>
            </w:pPr>
            <w:r w:rsidRPr="001A4644">
              <w:rPr>
                <w:rFonts w:ascii="Arial" w:eastAsia="Times New Roman" w:hAnsi="Arial" w:cs="Arial"/>
                <w:color w:val="000000"/>
              </w:rPr>
              <w:t>-29.5</w:t>
            </w:r>
          </w:p>
        </w:tc>
      </w:tr>
      <w:tr w:rsidR="001A4644" w:rsidRPr="00B90196" w14:paraId="31C48FD4" w14:textId="77777777" w:rsidTr="001C74E4">
        <w:tc>
          <w:tcPr>
            <w:tcW w:w="5665" w:type="dxa"/>
            <w:vAlign w:val="center"/>
          </w:tcPr>
          <w:p w14:paraId="41CDF853" w14:textId="5EA125BE" w:rsidR="001A4644" w:rsidRPr="001A4644" w:rsidRDefault="001A4644" w:rsidP="001A4644">
            <w:pPr>
              <w:rPr>
                <w:rFonts w:ascii="Arial" w:eastAsia="Times New Roman" w:hAnsi="Arial" w:cs="Arial"/>
                <w:color w:val="000000"/>
              </w:rPr>
            </w:pPr>
            <w:r w:rsidRPr="001A4644">
              <w:rPr>
                <w:rFonts w:ascii="Arial" w:eastAsia="Times New Roman" w:hAnsi="Arial" w:cs="Arial"/>
                <w:color w:val="000000"/>
              </w:rPr>
              <w:t>Unit Load - Less than part-time (less than 6 units)</w:t>
            </w:r>
          </w:p>
        </w:tc>
        <w:tc>
          <w:tcPr>
            <w:tcW w:w="1260" w:type="dxa"/>
            <w:vAlign w:val="center"/>
          </w:tcPr>
          <w:p w14:paraId="15BC4E23" w14:textId="3E86E228" w:rsidR="001A4644" w:rsidRPr="001A4644" w:rsidRDefault="001A4644" w:rsidP="001A4644">
            <w:pPr>
              <w:jc w:val="right"/>
              <w:rPr>
                <w:rFonts w:ascii="Arial" w:eastAsia="Times New Roman" w:hAnsi="Arial" w:cs="Arial"/>
                <w:color w:val="000000"/>
              </w:rPr>
            </w:pPr>
            <w:r w:rsidRPr="001A4644">
              <w:rPr>
                <w:rFonts w:ascii="Arial" w:eastAsia="Times New Roman" w:hAnsi="Arial" w:cs="Arial"/>
                <w:color w:val="000000"/>
              </w:rPr>
              <w:t>-29.5</w:t>
            </w:r>
          </w:p>
        </w:tc>
      </w:tr>
      <w:tr w:rsidR="001A4644" w:rsidRPr="00B90196" w14:paraId="62D758CB" w14:textId="77777777" w:rsidTr="001C74E4">
        <w:tc>
          <w:tcPr>
            <w:tcW w:w="5665" w:type="dxa"/>
            <w:vAlign w:val="center"/>
          </w:tcPr>
          <w:p w14:paraId="2B231BD2" w14:textId="39AB11C2" w:rsidR="001A4644" w:rsidRPr="001A4644" w:rsidRDefault="001A4644" w:rsidP="001A4644">
            <w:pPr>
              <w:rPr>
                <w:rFonts w:ascii="Arial" w:eastAsia="Times New Roman" w:hAnsi="Arial" w:cs="Arial"/>
                <w:color w:val="000000"/>
              </w:rPr>
            </w:pPr>
            <w:r w:rsidRPr="001A4644">
              <w:rPr>
                <w:rFonts w:ascii="Arial" w:eastAsia="Times New Roman" w:hAnsi="Arial" w:cs="Arial"/>
                <w:color w:val="000000"/>
              </w:rPr>
              <w:t>Not First Generation</w:t>
            </w:r>
          </w:p>
        </w:tc>
        <w:tc>
          <w:tcPr>
            <w:tcW w:w="1260" w:type="dxa"/>
            <w:vAlign w:val="center"/>
          </w:tcPr>
          <w:p w14:paraId="7CEF2240" w14:textId="1A402468" w:rsidR="001A4644" w:rsidRPr="001A4644" w:rsidRDefault="001A4644" w:rsidP="001A4644">
            <w:pPr>
              <w:jc w:val="right"/>
              <w:rPr>
                <w:rFonts w:ascii="Arial" w:eastAsia="Times New Roman" w:hAnsi="Arial" w:cs="Arial"/>
                <w:color w:val="000000"/>
              </w:rPr>
            </w:pPr>
            <w:r w:rsidRPr="001A4644">
              <w:rPr>
                <w:rFonts w:ascii="Arial" w:eastAsia="Times New Roman" w:hAnsi="Arial" w:cs="Arial"/>
                <w:color w:val="000000"/>
              </w:rPr>
              <w:t>-17.8</w:t>
            </w:r>
          </w:p>
        </w:tc>
      </w:tr>
      <w:tr w:rsidR="001A4644" w14:paraId="4BD2796F" w14:textId="7241BF38" w:rsidTr="001C74E4">
        <w:tc>
          <w:tcPr>
            <w:tcW w:w="5665" w:type="dxa"/>
            <w:vAlign w:val="center"/>
          </w:tcPr>
          <w:p w14:paraId="0F44E848" w14:textId="3AAF52B3" w:rsidR="001A4644" w:rsidRPr="001A4644" w:rsidRDefault="001A4644" w:rsidP="001A4644">
            <w:pPr>
              <w:rPr>
                <w:rFonts w:ascii="Arial" w:eastAsia="Times New Roman" w:hAnsi="Arial" w:cs="Arial"/>
                <w:color w:val="000000"/>
              </w:rPr>
            </w:pPr>
            <w:r w:rsidRPr="001A4644">
              <w:rPr>
                <w:rFonts w:ascii="Arial" w:eastAsia="Times New Roman" w:hAnsi="Arial" w:cs="Arial"/>
                <w:color w:val="000000"/>
              </w:rPr>
              <w:t>Not Low Income</w:t>
            </w:r>
          </w:p>
        </w:tc>
        <w:tc>
          <w:tcPr>
            <w:tcW w:w="1260" w:type="dxa"/>
            <w:vAlign w:val="center"/>
          </w:tcPr>
          <w:p w14:paraId="618FD058" w14:textId="280131E0" w:rsidR="001A4644" w:rsidRPr="001A4644" w:rsidRDefault="001A4644" w:rsidP="001A4644">
            <w:pPr>
              <w:jc w:val="right"/>
              <w:rPr>
                <w:rFonts w:ascii="Arial" w:eastAsia="Times New Roman" w:hAnsi="Arial" w:cs="Arial"/>
                <w:color w:val="000000"/>
              </w:rPr>
            </w:pPr>
            <w:r w:rsidRPr="001A4644">
              <w:rPr>
                <w:rFonts w:ascii="Arial" w:eastAsia="Times New Roman" w:hAnsi="Arial" w:cs="Arial"/>
                <w:color w:val="000000"/>
              </w:rPr>
              <w:t>-16.4</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1FB8AF63" w14:textId="3C615356" w:rsidR="005F1CBB"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different subgroups </w:t>
      </w:r>
      <w:r w:rsidR="008A32E0">
        <w:rPr>
          <w:rFonts w:ascii="Arial" w:eastAsia="Times New Roman" w:hAnsi="Arial" w:cs="Arial"/>
        </w:rPr>
        <w:t xml:space="preserve">in Medical Assisting </w:t>
      </w:r>
      <w:r w:rsidR="00F30875">
        <w:rPr>
          <w:rFonts w:ascii="Arial" w:eastAsia="Times New Roman" w:hAnsi="Arial" w:cs="Arial"/>
          <w:color w:val="000000"/>
        </w:rPr>
        <w:t xml:space="preserve">was compared to the overall success rate </w:t>
      </w:r>
      <w:r w:rsidR="008A32E0">
        <w:rPr>
          <w:rFonts w:ascii="Arial" w:eastAsia="Times New Roman" w:hAnsi="Arial" w:cs="Arial"/>
        </w:rPr>
        <w:t>in Medical Assisting</w:t>
      </w:r>
      <w:r w:rsidR="0021585C">
        <w:rPr>
          <w:rFonts w:ascii="Arial" w:eastAsia="Times New Roman" w:hAnsi="Arial" w:cs="Arial"/>
          <w:color w:val="000000"/>
        </w:rPr>
        <w:t>. T</w:t>
      </w:r>
      <w:r w:rsidR="00F30875">
        <w:rPr>
          <w:rFonts w:ascii="Arial" w:eastAsia="Times New Roman" w:hAnsi="Arial" w:cs="Arial"/>
          <w:color w:val="000000"/>
        </w:rPr>
        <w:t xml:space="preserve">he difference </w:t>
      </w:r>
      <w:r w:rsidR="0021585C">
        <w:rPr>
          <w:rFonts w:ascii="Arial" w:eastAsia="Times New Roman" w:hAnsi="Arial" w:cs="Arial"/>
          <w:color w:val="000000"/>
        </w:rPr>
        <w:t xml:space="preserve">between the two rates </w:t>
      </w:r>
      <w:r w:rsidR="00F30875">
        <w:rPr>
          <w:rFonts w:ascii="Arial" w:eastAsia="Times New Roman" w:hAnsi="Arial" w:cs="Arial"/>
          <w:color w:val="000000"/>
        </w:rPr>
        <w:t>(</w:t>
      </w:r>
      <w:r w:rsidR="0021585C">
        <w:rPr>
          <w:rFonts w:ascii="Arial" w:eastAsia="Times New Roman" w:hAnsi="Arial" w:cs="Arial"/>
          <w:color w:val="000000"/>
        </w:rPr>
        <w:t>the</w:t>
      </w:r>
      <w:r w:rsidR="00F30875">
        <w:rPr>
          <w:rFonts w:ascii="Arial" w:eastAsia="Times New Roman" w:hAnsi="Arial" w:cs="Arial"/>
          <w:color w:val="000000"/>
        </w:rPr>
        <w:t xml:space="preserve"> gap) </w:t>
      </w:r>
      <w:r w:rsidR="003737AB">
        <w:rPr>
          <w:rFonts w:ascii="Arial" w:eastAsia="Times New Roman" w:hAnsi="Arial" w:cs="Arial"/>
          <w:color w:val="000000"/>
        </w:rPr>
        <w:t>revealed</w:t>
      </w:r>
      <w:r w:rsidR="00374248">
        <w:rPr>
          <w:rFonts w:ascii="Arial" w:eastAsia="Times New Roman" w:hAnsi="Arial" w:cs="Arial"/>
          <w:color w:val="000000"/>
        </w:rPr>
        <w:t xml:space="preserve"> six </w:t>
      </w:r>
      <w:r w:rsidR="003737AB">
        <w:rPr>
          <w:rFonts w:ascii="Arial" w:eastAsia="Times New Roman" w:hAnsi="Arial" w:cs="Arial"/>
          <w:color w:val="000000"/>
        </w:rPr>
        <w:t xml:space="preserve">subgroups may have been </w:t>
      </w:r>
      <w:r w:rsidR="00F30875">
        <w:rPr>
          <w:rFonts w:ascii="Arial" w:eastAsia="Times New Roman" w:hAnsi="Arial" w:cs="Arial"/>
          <w:color w:val="000000"/>
        </w:rPr>
        <w:t>disproportionately impacted</w:t>
      </w:r>
      <w:r w:rsidR="003737AB">
        <w:rPr>
          <w:rFonts w:ascii="Arial" w:eastAsia="Times New Roman" w:hAnsi="Arial" w:cs="Arial"/>
          <w:color w:val="000000"/>
        </w:rPr>
        <w:t xml:space="preserve"> (see Table 2)</w:t>
      </w:r>
      <w:r w:rsidR="00F30875">
        <w:rPr>
          <w:rFonts w:ascii="Arial" w:eastAsia="Times New Roman" w:hAnsi="Arial" w:cs="Arial"/>
          <w:color w:val="000000"/>
        </w:rPr>
        <w:t>.</w:t>
      </w:r>
      <w:r w:rsidR="003737AB">
        <w:rPr>
          <w:rFonts w:ascii="Arial" w:eastAsia="Times New Roman" w:hAnsi="Arial" w:cs="Arial"/>
          <w:color w:val="000000"/>
        </w:rPr>
        <w:t xml:space="preserve"> </w:t>
      </w:r>
      <w:r w:rsidR="0021585C" w:rsidRPr="002B0FCC">
        <w:rPr>
          <w:rFonts w:ascii="Arial" w:eastAsia="Times New Roman" w:hAnsi="Arial" w:cs="Arial"/>
          <w:color w:val="000000"/>
        </w:rPr>
        <w:t>For example, t</w:t>
      </w:r>
      <w:r w:rsidR="003737AB" w:rsidRPr="002B0FCC">
        <w:rPr>
          <w:rFonts w:ascii="Arial" w:eastAsia="Times New Roman" w:hAnsi="Arial" w:cs="Arial"/>
          <w:color w:val="000000"/>
        </w:rPr>
        <w:t xml:space="preserve">he success rate for </w:t>
      </w:r>
      <w:r w:rsidR="00374248" w:rsidRPr="002B0FCC">
        <w:rPr>
          <w:rFonts w:ascii="Arial" w:eastAsia="Times New Roman" w:hAnsi="Arial" w:cs="Arial"/>
          <w:color w:val="000000"/>
        </w:rPr>
        <w:t>white</w:t>
      </w:r>
      <w:r w:rsidR="003737AB" w:rsidRPr="002B0FCC">
        <w:rPr>
          <w:rFonts w:ascii="Arial" w:eastAsia="Times New Roman" w:hAnsi="Arial" w:cs="Arial"/>
          <w:color w:val="000000"/>
        </w:rPr>
        <w:t xml:space="preserve"> non-Hispanic students </w:t>
      </w:r>
      <w:r w:rsidR="00A421CE" w:rsidRPr="002B0FCC">
        <w:rPr>
          <w:rFonts w:ascii="Arial" w:eastAsia="Times New Roman" w:hAnsi="Arial" w:cs="Arial"/>
          <w:color w:val="000000"/>
        </w:rPr>
        <w:t xml:space="preserve">enrolled in </w:t>
      </w:r>
      <w:r w:rsidR="00374248" w:rsidRPr="002B0FCC">
        <w:rPr>
          <w:rFonts w:ascii="Arial" w:eastAsia="Times New Roman" w:hAnsi="Arial" w:cs="Arial"/>
          <w:color w:val="000000"/>
        </w:rPr>
        <w:t>synchronous</w:t>
      </w:r>
      <w:r w:rsidR="00A421CE" w:rsidRPr="002B0FCC">
        <w:rPr>
          <w:rFonts w:ascii="Arial" w:eastAsia="Times New Roman" w:hAnsi="Arial" w:cs="Arial"/>
          <w:color w:val="000000"/>
        </w:rPr>
        <w:t xml:space="preserve"> </w:t>
      </w:r>
      <w:r w:rsidR="00374248" w:rsidRPr="002B0FCC">
        <w:rPr>
          <w:rFonts w:ascii="Arial" w:eastAsia="Times New Roman" w:hAnsi="Arial" w:cs="Arial"/>
          <w:color w:val="000000"/>
        </w:rPr>
        <w:t xml:space="preserve">Medical Assisting </w:t>
      </w:r>
      <w:r w:rsidR="00A421CE" w:rsidRPr="002B0FCC">
        <w:rPr>
          <w:rFonts w:ascii="Arial" w:eastAsia="Times New Roman" w:hAnsi="Arial" w:cs="Arial"/>
          <w:color w:val="000000"/>
        </w:rPr>
        <w:t xml:space="preserve">sections </w:t>
      </w:r>
      <w:r w:rsidR="003737AB" w:rsidRPr="002B0FCC">
        <w:rPr>
          <w:rFonts w:ascii="Arial" w:eastAsia="Times New Roman" w:hAnsi="Arial" w:cs="Arial"/>
          <w:color w:val="000000"/>
        </w:rPr>
        <w:t xml:space="preserve">was </w:t>
      </w:r>
      <w:r w:rsidR="00374248" w:rsidRPr="002B0FCC">
        <w:rPr>
          <w:rFonts w:ascii="Arial" w:eastAsia="Times New Roman" w:hAnsi="Arial" w:cs="Arial"/>
          <w:color w:val="000000"/>
        </w:rPr>
        <w:t>16.</w:t>
      </w:r>
      <w:r w:rsidR="002B0FCC" w:rsidRPr="002B0FCC">
        <w:rPr>
          <w:rFonts w:ascii="Arial" w:eastAsia="Times New Roman" w:hAnsi="Arial" w:cs="Arial"/>
          <w:color w:val="000000"/>
        </w:rPr>
        <w:t>5</w:t>
      </w:r>
      <w:r w:rsidR="003737AB" w:rsidRPr="002B0FCC">
        <w:rPr>
          <w:rFonts w:ascii="Arial" w:eastAsia="Times New Roman" w:hAnsi="Arial" w:cs="Arial"/>
          <w:color w:val="000000"/>
        </w:rPr>
        <w:t xml:space="preserve"> percentage points lower than the overall success rate </w:t>
      </w:r>
      <w:r w:rsidR="00374248" w:rsidRPr="002B0FCC">
        <w:rPr>
          <w:rFonts w:ascii="Arial" w:eastAsia="Times New Roman" w:hAnsi="Arial" w:cs="Arial"/>
          <w:color w:val="000000"/>
        </w:rPr>
        <w:t>in synchronous</w:t>
      </w:r>
      <w:r w:rsidR="003737AB" w:rsidRPr="002B0FCC">
        <w:rPr>
          <w:rFonts w:ascii="Arial" w:eastAsia="Times New Roman" w:hAnsi="Arial" w:cs="Arial"/>
          <w:color w:val="000000"/>
        </w:rPr>
        <w:t xml:space="preserve"> </w:t>
      </w:r>
      <w:r w:rsidR="004D68E5" w:rsidRPr="002B0FCC">
        <w:rPr>
          <w:rFonts w:ascii="Arial" w:eastAsia="Times New Roman" w:hAnsi="Arial" w:cs="Arial"/>
          <w:color w:val="000000"/>
        </w:rPr>
        <w:t>Medical Assisting</w:t>
      </w:r>
      <w:r w:rsidR="003737AB" w:rsidRPr="002B0FCC">
        <w:rPr>
          <w:rFonts w:ascii="Arial" w:eastAsia="Times New Roman" w:hAnsi="Arial" w:cs="Arial"/>
          <w:color w:val="000000"/>
        </w:rPr>
        <w:t xml:space="preserve"> </w:t>
      </w:r>
      <w:r w:rsidR="00374248" w:rsidRPr="002B0FCC">
        <w:rPr>
          <w:rFonts w:ascii="Arial" w:eastAsia="Times New Roman" w:hAnsi="Arial" w:cs="Arial"/>
          <w:color w:val="000000"/>
        </w:rPr>
        <w:t xml:space="preserve">sections </w:t>
      </w:r>
      <w:r w:rsidR="0021585C" w:rsidRPr="002B0FCC">
        <w:rPr>
          <w:rFonts w:ascii="Arial" w:eastAsia="Times New Roman" w:hAnsi="Arial" w:cs="Arial"/>
          <w:color w:val="000000"/>
        </w:rPr>
        <w:t>during the 2022-2023 academic year</w:t>
      </w:r>
      <w:r w:rsidR="003737AB" w:rsidRPr="002B0FCC">
        <w:rPr>
          <w:rFonts w:ascii="Arial" w:eastAsia="Times New Roman" w:hAnsi="Arial" w:cs="Arial"/>
          <w:color w:val="000000"/>
        </w:rPr>
        <w:t>.</w:t>
      </w:r>
    </w:p>
    <w:p w14:paraId="391EE846" w14:textId="77777777" w:rsidR="00D757CF" w:rsidRDefault="00D757CF" w:rsidP="00A44E2A">
      <w:pPr>
        <w:rPr>
          <w:rFonts w:ascii="Arial" w:eastAsia="Times New Roman" w:hAnsi="Arial" w:cs="Arial"/>
          <w:color w:val="000000"/>
        </w:rPr>
      </w:pPr>
    </w:p>
    <w:p w14:paraId="7A9D49A2" w14:textId="71C1936D" w:rsidR="0062317C" w:rsidRDefault="0062317C" w:rsidP="00A44E2A">
      <w:pPr>
        <w:rPr>
          <w:rFonts w:ascii="Arial" w:eastAsia="Times New Roman" w:hAnsi="Arial" w:cs="Arial"/>
          <w:color w:val="000000"/>
        </w:rPr>
      </w:pPr>
      <w:r>
        <w:rPr>
          <w:rFonts w:ascii="Arial" w:eastAsia="Times New Roman" w:hAnsi="Arial" w:cs="Arial"/>
          <w:color w:val="000000"/>
        </w:rPr>
        <w:lastRenderedPageBreak/>
        <w:t>Table 2.</w:t>
      </w:r>
    </w:p>
    <w:tbl>
      <w:tblPr>
        <w:tblStyle w:val="TableGrid"/>
        <w:tblW w:w="0" w:type="auto"/>
        <w:tblLook w:val="04A0" w:firstRow="1" w:lastRow="0" w:firstColumn="1" w:lastColumn="0" w:noHBand="0" w:noVBand="1"/>
      </w:tblPr>
      <w:tblGrid>
        <w:gridCol w:w="6295"/>
        <w:gridCol w:w="1080"/>
      </w:tblGrid>
      <w:tr w:rsidR="00245E0D" w:rsidRPr="00A44E2A" w14:paraId="6A6268CD" w14:textId="0ACA2107" w:rsidTr="001A4644">
        <w:tc>
          <w:tcPr>
            <w:tcW w:w="6295" w:type="dxa"/>
            <w:vAlign w:val="center"/>
          </w:tcPr>
          <w:p w14:paraId="1FCD6EAD" w14:textId="77777777" w:rsidR="00245E0D" w:rsidRPr="001A4644" w:rsidRDefault="00245E0D" w:rsidP="0081760F">
            <w:pPr>
              <w:rPr>
                <w:rFonts w:ascii="Arial" w:eastAsia="Times New Roman" w:hAnsi="Arial" w:cs="Arial"/>
                <w:b/>
                <w:color w:val="000000"/>
              </w:rPr>
            </w:pPr>
            <w:r w:rsidRPr="001A4644">
              <w:rPr>
                <w:rFonts w:ascii="Arial" w:eastAsia="Times New Roman" w:hAnsi="Arial" w:cs="Arial"/>
                <w:b/>
                <w:color w:val="000000"/>
              </w:rPr>
              <w:t>Student Subgroup</w:t>
            </w:r>
          </w:p>
        </w:tc>
        <w:tc>
          <w:tcPr>
            <w:tcW w:w="1080" w:type="dxa"/>
            <w:vAlign w:val="center"/>
          </w:tcPr>
          <w:p w14:paraId="271BA3AA" w14:textId="77777777" w:rsidR="00245E0D" w:rsidRPr="001A4644" w:rsidRDefault="00245E0D" w:rsidP="0081760F">
            <w:pPr>
              <w:jc w:val="right"/>
              <w:rPr>
                <w:rFonts w:ascii="Arial" w:eastAsia="Times New Roman" w:hAnsi="Arial" w:cs="Arial"/>
                <w:b/>
                <w:color w:val="000000"/>
              </w:rPr>
            </w:pPr>
            <w:r w:rsidRPr="001A4644">
              <w:rPr>
                <w:rFonts w:ascii="Arial" w:eastAsia="Times New Roman" w:hAnsi="Arial" w:cs="Arial"/>
                <w:b/>
                <w:color w:val="000000"/>
              </w:rPr>
              <w:t>Gap</w:t>
            </w:r>
          </w:p>
        </w:tc>
      </w:tr>
      <w:tr w:rsidR="00D21413" w:rsidRPr="00A44E2A" w14:paraId="0DEF5DA2" w14:textId="77777777" w:rsidTr="001A4644">
        <w:tc>
          <w:tcPr>
            <w:tcW w:w="6295" w:type="dxa"/>
            <w:vAlign w:val="center"/>
          </w:tcPr>
          <w:p w14:paraId="03000B1D" w14:textId="6E9F542D" w:rsidR="00D21413" w:rsidRPr="001A4644" w:rsidRDefault="00D97426" w:rsidP="0081760F">
            <w:pPr>
              <w:rPr>
                <w:rFonts w:ascii="Arial" w:eastAsia="Times New Roman" w:hAnsi="Arial" w:cs="Arial"/>
                <w:color w:val="000000"/>
              </w:rPr>
            </w:pPr>
            <w:r w:rsidRPr="001A4644">
              <w:rPr>
                <w:rFonts w:ascii="Arial" w:eastAsia="Times New Roman" w:hAnsi="Arial" w:cs="Arial"/>
                <w:color w:val="000000"/>
              </w:rPr>
              <w:t xml:space="preserve">Course </w:t>
            </w:r>
            <w:r w:rsidR="001A4644" w:rsidRPr="001A4644">
              <w:rPr>
                <w:rFonts w:ascii="Arial" w:eastAsia="Times New Roman" w:hAnsi="Arial" w:cs="Arial"/>
                <w:color w:val="000000"/>
              </w:rPr>
              <w:t>M</w:t>
            </w:r>
            <w:r w:rsidRPr="001A4644">
              <w:rPr>
                <w:rFonts w:ascii="Arial" w:eastAsia="Times New Roman" w:hAnsi="Arial" w:cs="Arial"/>
                <w:color w:val="000000"/>
              </w:rPr>
              <w:t xml:space="preserve">odality </w:t>
            </w:r>
            <w:r w:rsidR="001A4644" w:rsidRPr="001A4644">
              <w:rPr>
                <w:rFonts w:ascii="Arial" w:eastAsia="Times New Roman" w:hAnsi="Arial" w:cs="Arial"/>
                <w:color w:val="000000"/>
              </w:rPr>
              <w:t>Synchronous</w:t>
            </w:r>
            <w:r w:rsidRPr="001A4644">
              <w:rPr>
                <w:rFonts w:ascii="Arial" w:eastAsia="Times New Roman" w:hAnsi="Arial" w:cs="Arial"/>
                <w:color w:val="000000"/>
              </w:rPr>
              <w:t xml:space="preserve">: </w:t>
            </w:r>
            <w:r w:rsidR="001A4644" w:rsidRPr="001A4644">
              <w:rPr>
                <w:rFonts w:ascii="Arial" w:eastAsia="Times New Roman" w:hAnsi="Arial" w:cs="Arial"/>
                <w:color w:val="000000"/>
              </w:rPr>
              <w:t>White</w:t>
            </w:r>
            <w:r w:rsidR="00D21413" w:rsidRPr="001A4644">
              <w:rPr>
                <w:rFonts w:ascii="Arial" w:eastAsia="Times New Roman" w:hAnsi="Arial" w:cs="Arial"/>
                <w:color w:val="000000"/>
              </w:rPr>
              <w:t xml:space="preserve"> </w:t>
            </w:r>
            <w:r w:rsidRPr="001A4644">
              <w:rPr>
                <w:rFonts w:ascii="Arial" w:eastAsia="Times New Roman" w:hAnsi="Arial" w:cs="Arial"/>
                <w:color w:val="000000"/>
              </w:rPr>
              <w:t xml:space="preserve">Non-Hispanic </w:t>
            </w:r>
            <w:r w:rsidR="001A4644" w:rsidRPr="001A4644">
              <w:rPr>
                <w:rFonts w:ascii="Arial" w:eastAsia="Times New Roman" w:hAnsi="Arial" w:cs="Arial"/>
                <w:color w:val="000000"/>
              </w:rPr>
              <w:t>Fem</w:t>
            </w:r>
            <w:r w:rsidR="00D21413" w:rsidRPr="001A4644">
              <w:rPr>
                <w:rFonts w:ascii="Arial" w:eastAsia="Times New Roman" w:hAnsi="Arial" w:cs="Arial"/>
                <w:color w:val="000000"/>
              </w:rPr>
              <w:t>ales</w:t>
            </w:r>
          </w:p>
        </w:tc>
        <w:tc>
          <w:tcPr>
            <w:tcW w:w="1080" w:type="dxa"/>
            <w:vAlign w:val="center"/>
          </w:tcPr>
          <w:p w14:paraId="33B6FC07" w14:textId="1F99939E" w:rsidR="00D21413" w:rsidRPr="001A4644" w:rsidRDefault="00D21413" w:rsidP="0081760F">
            <w:pPr>
              <w:jc w:val="right"/>
              <w:rPr>
                <w:rFonts w:ascii="Arial" w:eastAsia="Times New Roman" w:hAnsi="Arial" w:cs="Arial"/>
                <w:color w:val="000000"/>
              </w:rPr>
            </w:pPr>
            <w:r w:rsidRPr="001A4644">
              <w:rPr>
                <w:rFonts w:ascii="Arial" w:eastAsia="Times New Roman" w:hAnsi="Arial" w:cs="Arial"/>
                <w:color w:val="000000"/>
              </w:rPr>
              <w:t>-</w:t>
            </w:r>
            <w:r w:rsidR="001A4644" w:rsidRPr="001A4644">
              <w:rPr>
                <w:rFonts w:ascii="Arial" w:eastAsia="Times New Roman" w:hAnsi="Arial" w:cs="Arial"/>
                <w:color w:val="000000"/>
              </w:rPr>
              <w:t>16.6</w:t>
            </w:r>
          </w:p>
        </w:tc>
      </w:tr>
      <w:tr w:rsidR="00D21413" w:rsidRPr="00A44E2A" w14:paraId="4EEE5381" w14:textId="77777777" w:rsidTr="001A4644">
        <w:tc>
          <w:tcPr>
            <w:tcW w:w="6295" w:type="dxa"/>
            <w:vAlign w:val="center"/>
          </w:tcPr>
          <w:p w14:paraId="5B5D95C7" w14:textId="6166B0B9" w:rsidR="00D21413" w:rsidRPr="00374248" w:rsidRDefault="001A4644" w:rsidP="0081760F">
            <w:pPr>
              <w:rPr>
                <w:rFonts w:ascii="Arial" w:eastAsia="Times New Roman" w:hAnsi="Arial" w:cs="Arial"/>
                <w:color w:val="000000"/>
              </w:rPr>
            </w:pPr>
            <w:r w:rsidRPr="00374248">
              <w:rPr>
                <w:rFonts w:ascii="Arial" w:eastAsia="Times New Roman" w:hAnsi="Arial" w:cs="Arial"/>
                <w:color w:val="000000"/>
              </w:rPr>
              <w:t xml:space="preserve">Course Modality Synchronous: White Non-Hispanic </w:t>
            </w:r>
          </w:p>
        </w:tc>
        <w:tc>
          <w:tcPr>
            <w:tcW w:w="1080" w:type="dxa"/>
            <w:vAlign w:val="center"/>
          </w:tcPr>
          <w:p w14:paraId="3047D620" w14:textId="7AF467C1" w:rsidR="00D21413" w:rsidRPr="00374248" w:rsidRDefault="00D21413" w:rsidP="0081760F">
            <w:pPr>
              <w:jc w:val="right"/>
              <w:rPr>
                <w:rFonts w:ascii="Arial" w:eastAsia="Times New Roman" w:hAnsi="Arial" w:cs="Arial"/>
                <w:color w:val="000000"/>
              </w:rPr>
            </w:pPr>
            <w:r w:rsidRPr="00374248">
              <w:rPr>
                <w:rFonts w:ascii="Arial" w:eastAsia="Times New Roman" w:hAnsi="Arial" w:cs="Arial"/>
                <w:color w:val="000000"/>
              </w:rPr>
              <w:t>-</w:t>
            </w:r>
            <w:r w:rsidR="001A4644" w:rsidRPr="00374248">
              <w:rPr>
                <w:rFonts w:ascii="Arial" w:eastAsia="Times New Roman" w:hAnsi="Arial" w:cs="Arial"/>
                <w:color w:val="000000"/>
              </w:rPr>
              <w:t>16.5</w:t>
            </w:r>
          </w:p>
        </w:tc>
      </w:tr>
      <w:tr w:rsidR="00245E0D" w14:paraId="7F0B2D23" w14:textId="4DAE22B1" w:rsidTr="001A4644">
        <w:tc>
          <w:tcPr>
            <w:tcW w:w="6295" w:type="dxa"/>
            <w:vAlign w:val="center"/>
          </w:tcPr>
          <w:p w14:paraId="5C5B7B94" w14:textId="7E5165E8" w:rsidR="00245E0D" w:rsidRPr="00374248" w:rsidRDefault="00374248" w:rsidP="001C74E4">
            <w:pPr>
              <w:rPr>
                <w:rFonts w:ascii="Arial" w:eastAsia="Times New Roman" w:hAnsi="Arial" w:cs="Arial"/>
                <w:color w:val="000000"/>
              </w:rPr>
            </w:pPr>
            <w:r w:rsidRPr="00374248">
              <w:rPr>
                <w:rFonts w:ascii="Arial" w:eastAsia="Times New Roman" w:hAnsi="Arial" w:cs="Arial"/>
                <w:color w:val="000000"/>
              </w:rPr>
              <w:t>White</w:t>
            </w:r>
            <w:r w:rsidR="00245E0D" w:rsidRPr="00374248">
              <w:rPr>
                <w:rFonts w:ascii="Arial" w:eastAsia="Times New Roman" w:hAnsi="Arial" w:cs="Arial"/>
                <w:color w:val="000000"/>
              </w:rPr>
              <w:t xml:space="preserve"> Non-Hispanic</w:t>
            </w:r>
          </w:p>
        </w:tc>
        <w:tc>
          <w:tcPr>
            <w:tcW w:w="1080" w:type="dxa"/>
            <w:vAlign w:val="center"/>
          </w:tcPr>
          <w:p w14:paraId="3CA0C750" w14:textId="6B37F486" w:rsidR="00245E0D" w:rsidRPr="00374248" w:rsidRDefault="00245E0D" w:rsidP="001C74E4">
            <w:pPr>
              <w:jc w:val="right"/>
              <w:rPr>
                <w:rFonts w:ascii="Arial" w:eastAsia="Times New Roman" w:hAnsi="Arial" w:cs="Arial"/>
                <w:color w:val="000000"/>
              </w:rPr>
            </w:pPr>
            <w:r w:rsidRPr="00374248">
              <w:rPr>
                <w:rFonts w:ascii="Arial" w:eastAsia="Times New Roman" w:hAnsi="Arial" w:cs="Arial"/>
                <w:color w:val="000000"/>
              </w:rPr>
              <w:t>-1</w:t>
            </w:r>
            <w:r w:rsidR="00374248" w:rsidRPr="00374248">
              <w:rPr>
                <w:rFonts w:ascii="Arial" w:eastAsia="Times New Roman" w:hAnsi="Arial" w:cs="Arial"/>
                <w:color w:val="000000"/>
              </w:rPr>
              <w:t>5</w:t>
            </w:r>
            <w:r w:rsidRPr="00374248">
              <w:rPr>
                <w:rFonts w:ascii="Arial" w:eastAsia="Times New Roman" w:hAnsi="Arial" w:cs="Arial"/>
                <w:color w:val="000000"/>
              </w:rPr>
              <w:t>.</w:t>
            </w:r>
            <w:r w:rsidR="00374248" w:rsidRPr="00374248">
              <w:rPr>
                <w:rFonts w:ascii="Arial" w:eastAsia="Times New Roman" w:hAnsi="Arial" w:cs="Arial"/>
                <w:color w:val="000000"/>
              </w:rPr>
              <w:t>8</w:t>
            </w:r>
          </w:p>
        </w:tc>
      </w:tr>
      <w:tr w:rsidR="00245E0D" w14:paraId="37FD5B9A" w14:textId="3CBA7A02" w:rsidTr="001A4644">
        <w:tc>
          <w:tcPr>
            <w:tcW w:w="6295" w:type="dxa"/>
            <w:vAlign w:val="center"/>
          </w:tcPr>
          <w:p w14:paraId="6ACF9930" w14:textId="337FBA5C" w:rsidR="00245E0D" w:rsidRPr="00374248" w:rsidRDefault="00374248" w:rsidP="001C74E4">
            <w:pPr>
              <w:rPr>
                <w:rFonts w:ascii="Arial" w:eastAsia="Times New Roman" w:hAnsi="Arial" w:cs="Arial"/>
                <w:color w:val="000000"/>
              </w:rPr>
            </w:pPr>
            <w:r w:rsidRPr="00374248">
              <w:rPr>
                <w:rFonts w:ascii="Arial" w:eastAsia="Times New Roman" w:hAnsi="Arial" w:cs="Arial"/>
                <w:color w:val="000000"/>
              </w:rPr>
              <w:t>White Non-Hispanic Females</w:t>
            </w:r>
          </w:p>
        </w:tc>
        <w:tc>
          <w:tcPr>
            <w:tcW w:w="1080" w:type="dxa"/>
            <w:vAlign w:val="center"/>
          </w:tcPr>
          <w:p w14:paraId="3934C1D8" w14:textId="7FF10FA9" w:rsidR="00245E0D" w:rsidRPr="00374248" w:rsidRDefault="00245E0D" w:rsidP="001C74E4">
            <w:pPr>
              <w:jc w:val="right"/>
              <w:rPr>
                <w:rFonts w:ascii="Arial" w:eastAsia="Times New Roman" w:hAnsi="Arial" w:cs="Arial"/>
                <w:color w:val="000000"/>
              </w:rPr>
            </w:pPr>
            <w:r w:rsidRPr="00374248">
              <w:rPr>
                <w:rFonts w:ascii="Arial" w:eastAsia="Times New Roman" w:hAnsi="Arial" w:cs="Arial"/>
                <w:color w:val="000000"/>
              </w:rPr>
              <w:t>-1</w:t>
            </w:r>
            <w:r w:rsidR="00374248" w:rsidRPr="00374248">
              <w:rPr>
                <w:rFonts w:ascii="Arial" w:eastAsia="Times New Roman" w:hAnsi="Arial" w:cs="Arial"/>
                <w:color w:val="000000"/>
              </w:rPr>
              <w:t>5</w:t>
            </w:r>
            <w:r w:rsidRPr="00374248">
              <w:rPr>
                <w:rFonts w:ascii="Arial" w:eastAsia="Times New Roman" w:hAnsi="Arial" w:cs="Arial"/>
                <w:color w:val="000000"/>
              </w:rPr>
              <w:t>.</w:t>
            </w:r>
            <w:r w:rsidR="00374248" w:rsidRPr="00374248">
              <w:rPr>
                <w:rFonts w:ascii="Arial" w:eastAsia="Times New Roman" w:hAnsi="Arial" w:cs="Arial"/>
                <w:color w:val="000000"/>
              </w:rPr>
              <w:t>6</w:t>
            </w:r>
          </w:p>
        </w:tc>
      </w:tr>
      <w:tr w:rsidR="00D97426" w14:paraId="3B1949DA" w14:textId="77777777" w:rsidTr="001A4644">
        <w:tc>
          <w:tcPr>
            <w:tcW w:w="6295" w:type="dxa"/>
            <w:vAlign w:val="center"/>
          </w:tcPr>
          <w:p w14:paraId="436CFF90" w14:textId="78235F48" w:rsidR="00D97426" w:rsidRPr="00374248" w:rsidRDefault="00374248" w:rsidP="001C74E4">
            <w:pPr>
              <w:rPr>
                <w:rFonts w:ascii="Arial" w:eastAsia="Times New Roman" w:hAnsi="Arial" w:cs="Arial"/>
                <w:color w:val="000000"/>
              </w:rPr>
            </w:pPr>
            <w:r w:rsidRPr="00374248">
              <w:rPr>
                <w:rFonts w:ascii="Arial" w:eastAsia="Times New Roman" w:hAnsi="Arial" w:cs="Arial"/>
                <w:color w:val="000000"/>
              </w:rPr>
              <w:t>Age 18 - 22</w:t>
            </w:r>
          </w:p>
        </w:tc>
        <w:tc>
          <w:tcPr>
            <w:tcW w:w="1080" w:type="dxa"/>
            <w:vAlign w:val="center"/>
          </w:tcPr>
          <w:p w14:paraId="47950623" w14:textId="4C09D721" w:rsidR="00D97426" w:rsidRPr="00374248" w:rsidRDefault="00D97426" w:rsidP="001C74E4">
            <w:pPr>
              <w:jc w:val="right"/>
              <w:rPr>
                <w:rFonts w:ascii="Arial" w:eastAsia="Times New Roman" w:hAnsi="Arial" w:cs="Arial"/>
                <w:color w:val="000000"/>
              </w:rPr>
            </w:pPr>
            <w:r w:rsidRPr="00374248">
              <w:rPr>
                <w:rFonts w:ascii="Arial" w:eastAsia="Times New Roman" w:hAnsi="Arial" w:cs="Arial"/>
                <w:color w:val="000000"/>
              </w:rPr>
              <w:t>-</w:t>
            </w:r>
            <w:r w:rsidR="00374248" w:rsidRPr="00374248">
              <w:rPr>
                <w:rFonts w:ascii="Arial" w:eastAsia="Times New Roman" w:hAnsi="Arial" w:cs="Arial"/>
                <w:color w:val="000000"/>
              </w:rPr>
              <w:t>9</w:t>
            </w:r>
            <w:r w:rsidRPr="00374248">
              <w:rPr>
                <w:rFonts w:ascii="Arial" w:eastAsia="Times New Roman" w:hAnsi="Arial" w:cs="Arial"/>
                <w:color w:val="000000"/>
              </w:rPr>
              <w:t>.</w:t>
            </w:r>
            <w:r w:rsidR="00374248" w:rsidRPr="00374248">
              <w:rPr>
                <w:rFonts w:ascii="Arial" w:eastAsia="Times New Roman" w:hAnsi="Arial" w:cs="Arial"/>
                <w:color w:val="000000"/>
              </w:rPr>
              <w:t>3</w:t>
            </w:r>
          </w:p>
        </w:tc>
      </w:tr>
      <w:tr w:rsidR="00245E0D" w14:paraId="71ECEF2C" w14:textId="418DB56B" w:rsidTr="001A4644">
        <w:tc>
          <w:tcPr>
            <w:tcW w:w="6295" w:type="dxa"/>
            <w:vAlign w:val="center"/>
          </w:tcPr>
          <w:p w14:paraId="0DAFFE83" w14:textId="6708221A" w:rsidR="00245E0D" w:rsidRPr="00374248" w:rsidRDefault="00374248" w:rsidP="001C74E4">
            <w:pPr>
              <w:rPr>
                <w:rFonts w:ascii="Arial" w:eastAsia="Times New Roman" w:hAnsi="Arial" w:cs="Arial"/>
                <w:color w:val="000000"/>
              </w:rPr>
            </w:pPr>
            <w:r w:rsidRPr="00374248">
              <w:rPr>
                <w:rFonts w:ascii="Arial" w:eastAsia="Times New Roman" w:hAnsi="Arial" w:cs="Arial"/>
                <w:color w:val="000000"/>
              </w:rPr>
              <w:t>Unit load – Full-time (12 or more units)</w:t>
            </w:r>
          </w:p>
        </w:tc>
        <w:tc>
          <w:tcPr>
            <w:tcW w:w="1080" w:type="dxa"/>
            <w:vAlign w:val="center"/>
          </w:tcPr>
          <w:p w14:paraId="33C399B8" w14:textId="73CFF4FB" w:rsidR="00245E0D" w:rsidRPr="00374248" w:rsidRDefault="00245E0D" w:rsidP="001C74E4">
            <w:pPr>
              <w:jc w:val="right"/>
              <w:rPr>
                <w:rFonts w:ascii="Arial" w:eastAsia="Times New Roman" w:hAnsi="Arial" w:cs="Arial"/>
                <w:color w:val="000000"/>
              </w:rPr>
            </w:pPr>
            <w:r w:rsidRPr="00374248">
              <w:rPr>
                <w:rFonts w:ascii="Arial" w:eastAsia="Times New Roman" w:hAnsi="Arial" w:cs="Arial"/>
                <w:color w:val="000000"/>
              </w:rPr>
              <w:t>-9.</w:t>
            </w:r>
            <w:r w:rsidR="00374248" w:rsidRPr="00374248">
              <w:rPr>
                <w:rFonts w:ascii="Arial" w:eastAsia="Times New Roman" w:hAnsi="Arial" w:cs="Arial"/>
                <w:color w:val="000000"/>
              </w:rPr>
              <w:t>3</w:t>
            </w:r>
          </w:p>
        </w:tc>
      </w:tr>
    </w:tbl>
    <w:p w14:paraId="1C4DF200" w14:textId="7549A0FF" w:rsidR="00A44E2A" w:rsidRDefault="00A44E2A" w:rsidP="00D9546A">
      <w:pPr>
        <w:spacing w:after="0"/>
        <w:rPr>
          <w:rFonts w:ascii="Calibri" w:hAnsi="Calibri" w:cs="Calibri"/>
          <w:color w:val="000000"/>
        </w:rPr>
      </w:pPr>
    </w:p>
    <w:p w14:paraId="7720C4BE" w14:textId="7D2C1120"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t>Withdraws</w:t>
      </w:r>
    </w:p>
    <w:p w14:paraId="79EE6555" w14:textId="19DA4025" w:rsidR="002B0FCC" w:rsidRPr="001C2E68" w:rsidRDefault="001C2E68" w:rsidP="002B0FCC">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subgroups </w:t>
      </w:r>
      <w:r w:rsidR="008A32E0">
        <w:rPr>
          <w:rFonts w:ascii="Arial" w:eastAsia="Times New Roman" w:hAnsi="Arial" w:cs="Arial"/>
        </w:rPr>
        <w:t xml:space="preserve">in Medical Assisting </w:t>
      </w:r>
      <w:r w:rsidR="0021585C">
        <w:rPr>
          <w:rFonts w:ascii="Arial" w:eastAsia="Times New Roman" w:hAnsi="Arial" w:cs="Arial"/>
          <w:color w:val="000000"/>
        </w:rPr>
        <w:t>was compared to the overall withdraw rate for the program</w:t>
      </w:r>
      <w:r w:rsidR="002B0FCC" w:rsidRPr="002B0FCC">
        <w:rPr>
          <w:rFonts w:ascii="Arial" w:eastAsia="Times New Roman" w:hAnsi="Arial" w:cs="Arial"/>
          <w:color w:val="000000"/>
        </w:rPr>
        <w:t xml:space="preserve"> </w:t>
      </w:r>
      <w:r w:rsidR="002B0FCC">
        <w:rPr>
          <w:rFonts w:ascii="Arial" w:eastAsia="Times New Roman" w:hAnsi="Arial" w:cs="Arial"/>
          <w:color w:val="000000"/>
        </w:rPr>
        <w:t>No disproportionate impact was found for withdraws in Medical Assisting.</w:t>
      </w:r>
    </w:p>
    <w:p w14:paraId="57E7FDC5" w14:textId="77777777" w:rsidR="002B0FCC" w:rsidRDefault="002B0FCC" w:rsidP="007114A6">
      <w:pPr>
        <w:spacing w:after="0"/>
        <w:rPr>
          <w:rFonts w:ascii="Arial" w:eastAsia="Times New Roman" w:hAnsi="Arial" w:cs="Arial"/>
          <w:b/>
          <w:color w:val="000000"/>
          <w:u w:val="single"/>
        </w:rPr>
      </w:pPr>
    </w:p>
    <w:p w14:paraId="51E2AB71" w14:textId="77777777" w:rsidR="002B0FCC" w:rsidRDefault="002B0FCC">
      <w:pPr>
        <w:rPr>
          <w:rFonts w:ascii="Arial" w:eastAsia="Times New Roman" w:hAnsi="Arial" w:cs="Arial"/>
          <w:b/>
          <w:color w:val="000000"/>
          <w:u w:val="single"/>
        </w:rPr>
      </w:pPr>
      <w:r>
        <w:rPr>
          <w:rFonts w:ascii="Arial" w:eastAsia="Times New Roman" w:hAnsi="Arial" w:cs="Arial"/>
          <w:b/>
          <w:color w:val="000000"/>
          <w:u w:val="single"/>
        </w:rPr>
        <w:br w:type="page"/>
      </w:r>
    </w:p>
    <w:p w14:paraId="3B5E0D74" w14:textId="79FF4ABA"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19A8715D"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Pr="00AB0ADB">
        <w:rPr>
          <w:rFonts w:ascii="Times New Roman" w:eastAsia="Times New Roman" w:hAnsi="Times New Roman" w:cs="Times New Roman"/>
        </w:rPr>
        <w:br/>
      </w:r>
      <w:r w:rsidR="00033E98">
        <w:rPr>
          <w:rFonts w:ascii="Times New Roman" w:eastAsia="Times New Roman" w:hAnsi="Times New Roman" w:cs="Times New Roman"/>
          <w:noProof/>
        </w:rPr>
        <w:drawing>
          <wp:inline distT="0" distB="0" distL="0" distR="0" wp14:anchorId="6E11C384" wp14:editId="1E663ED8">
            <wp:extent cx="3703320" cy="4663440"/>
            <wp:effectExtent l="19050" t="19050" r="11430" b="2286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MEDA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03320" cy="4663440"/>
                    </a:xfrm>
                    <a:prstGeom prst="rect">
                      <a:avLst/>
                    </a:prstGeom>
                    <a:ln>
                      <a:solidFill>
                        <a:schemeClr val="bg2">
                          <a:lumMod val="50000"/>
                        </a:schemeClr>
                      </a:solidFill>
                    </a:ln>
                  </pic:spPr>
                </pic:pic>
              </a:graphicData>
            </a:graphic>
          </wp:inline>
        </w:drawing>
      </w:r>
    </w:p>
    <w:p w14:paraId="746EC8BF" w14:textId="3D133B7E" w:rsidR="00906503" w:rsidRPr="00A90F94" w:rsidRDefault="002B0FCC" w:rsidP="00906503">
      <w:pPr>
        <w:rPr>
          <w:rFonts w:ascii="Arial" w:eastAsia="Times New Roman" w:hAnsi="Arial" w:cs="Arial"/>
          <w:color w:val="000000"/>
        </w:rPr>
      </w:pPr>
      <w:r w:rsidRPr="002B0FCC">
        <w:rPr>
          <w:rFonts w:ascii="Arial" w:eastAsia="Times New Roman" w:hAnsi="Arial" w:cs="Arial"/>
          <w:color w:val="000000"/>
        </w:rPr>
        <w:t>Synchronous sections in Medical Assisting were first offered in 2020-2021. For the last three academic years, success rates in synchronous sections were 7–15 percentage points lower than success rates for face-to-face sections.</w:t>
      </w:r>
      <w:r w:rsidR="00C24638" w:rsidRPr="004B12C9">
        <w:rPr>
          <w:rFonts w:ascii="Arial" w:eastAsia="Times New Roman" w:hAnsi="Arial" w:cs="Arial"/>
          <w:color w:val="000000"/>
        </w:rPr>
        <w:t xml:space="preserve"> </w:t>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DD66F" w14:textId="77777777" w:rsidR="00EE765E" w:rsidRDefault="00EE765E" w:rsidP="009F6F6B">
      <w:pPr>
        <w:spacing w:after="0" w:line="240" w:lineRule="auto"/>
      </w:pPr>
      <w:r>
        <w:separator/>
      </w:r>
    </w:p>
  </w:endnote>
  <w:endnote w:type="continuationSeparator" w:id="0">
    <w:p w14:paraId="5D181A3C" w14:textId="77777777" w:rsidR="00EE765E" w:rsidRDefault="00EE765E"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3331" w14:textId="77777777" w:rsidR="00EE765E" w:rsidRDefault="00EE765E" w:rsidP="009F6F6B">
      <w:pPr>
        <w:spacing w:after="0" w:line="240" w:lineRule="auto"/>
      </w:pPr>
      <w:r>
        <w:separator/>
      </w:r>
    </w:p>
  </w:footnote>
  <w:footnote w:type="continuationSeparator" w:id="0">
    <w:p w14:paraId="2F28A914" w14:textId="77777777" w:rsidR="00EE765E" w:rsidRDefault="00EE765E"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0B31"/>
    <w:rsid w:val="000116A4"/>
    <w:rsid w:val="000131F9"/>
    <w:rsid w:val="00030A80"/>
    <w:rsid w:val="00033E98"/>
    <w:rsid w:val="00071FE1"/>
    <w:rsid w:val="000A1C8F"/>
    <w:rsid w:val="000B759A"/>
    <w:rsid w:val="000C09EC"/>
    <w:rsid w:val="000E49CC"/>
    <w:rsid w:val="00110402"/>
    <w:rsid w:val="00116D65"/>
    <w:rsid w:val="00131B64"/>
    <w:rsid w:val="0014130C"/>
    <w:rsid w:val="00160371"/>
    <w:rsid w:val="00161A45"/>
    <w:rsid w:val="00165053"/>
    <w:rsid w:val="00196BA1"/>
    <w:rsid w:val="001A4644"/>
    <w:rsid w:val="001A5D4D"/>
    <w:rsid w:val="001C2E68"/>
    <w:rsid w:val="001C74E4"/>
    <w:rsid w:val="001D53F3"/>
    <w:rsid w:val="001E7537"/>
    <w:rsid w:val="001F284B"/>
    <w:rsid w:val="0021585C"/>
    <w:rsid w:val="00245E0D"/>
    <w:rsid w:val="002520A0"/>
    <w:rsid w:val="002610F9"/>
    <w:rsid w:val="00272996"/>
    <w:rsid w:val="002757BF"/>
    <w:rsid w:val="00283F1F"/>
    <w:rsid w:val="002B0FCC"/>
    <w:rsid w:val="002B12AF"/>
    <w:rsid w:val="002D6B2A"/>
    <w:rsid w:val="002E4888"/>
    <w:rsid w:val="003117ED"/>
    <w:rsid w:val="003137E7"/>
    <w:rsid w:val="003378B0"/>
    <w:rsid w:val="00364669"/>
    <w:rsid w:val="00371B70"/>
    <w:rsid w:val="003737AB"/>
    <w:rsid w:val="00374248"/>
    <w:rsid w:val="00385A40"/>
    <w:rsid w:val="003863C8"/>
    <w:rsid w:val="003944C1"/>
    <w:rsid w:val="003C32C9"/>
    <w:rsid w:val="003E1693"/>
    <w:rsid w:val="00406E84"/>
    <w:rsid w:val="00413D09"/>
    <w:rsid w:val="00414239"/>
    <w:rsid w:val="00440EF9"/>
    <w:rsid w:val="004578B1"/>
    <w:rsid w:val="004660EE"/>
    <w:rsid w:val="004803B7"/>
    <w:rsid w:val="00486499"/>
    <w:rsid w:val="004A65E7"/>
    <w:rsid w:val="004B12C9"/>
    <w:rsid w:val="004D0BFA"/>
    <w:rsid w:val="004D68E5"/>
    <w:rsid w:val="004E01EA"/>
    <w:rsid w:val="004F3DA3"/>
    <w:rsid w:val="004F62C3"/>
    <w:rsid w:val="00513828"/>
    <w:rsid w:val="00514BBA"/>
    <w:rsid w:val="00517C25"/>
    <w:rsid w:val="00556CD8"/>
    <w:rsid w:val="00557564"/>
    <w:rsid w:val="0055791A"/>
    <w:rsid w:val="0056143B"/>
    <w:rsid w:val="00593B5C"/>
    <w:rsid w:val="005A052E"/>
    <w:rsid w:val="005A431B"/>
    <w:rsid w:val="005C2D87"/>
    <w:rsid w:val="005C612B"/>
    <w:rsid w:val="005C75B2"/>
    <w:rsid w:val="005D490B"/>
    <w:rsid w:val="005E1150"/>
    <w:rsid w:val="005F1CBB"/>
    <w:rsid w:val="005F4195"/>
    <w:rsid w:val="00602FD9"/>
    <w:rsid w:val="006166FA"/>
    <w:rsid w:val="00622C88"/>
    <w:rsid w:val="0062317C"/>
    <w:rsid w:val="00631106"/>
    <w:rsid w:val="006330A2"/>
    <w:rsid w:val="00640C6D"/>
    <w:rsid w:val="00642589"/>
    <w:rsid w:val="00660FB7"/>
    <w:rsid w:val="006657F8"/>
    <w:rsid w:val="006946A5"/>
    <w:rsid w:val="00696858"/>
    <w:rsid w:val="006A0BA5"/>
    <w:rsid w:val="006B34B1"/>
    <w:rsid w:val="006D0A06"/>
    <w:rsid w:val="00700AA0"/>
    <w:rsid w:val="00702DDB"/>
    <w:rsid w:val="00710D82"/>
    <w:rsid w:val="007114A6"/>
    <w:rsid w:val="00724BB5"/>
    <w:rsid w:val="00737D1F"/>
    <w:rsid w:val="00744783"/>
    <w:rsid w:val="007449CA"/>
    <w:rsid w:val="00774B0F"/>
    <w:rsid w:val="0077565A"/>
    <w:rsid w:val="007837E7"/>
    <w:rsid w:val="00787E61"/>
    <w:rsid w:val="00796ADD"/>
    <w:rsid w:val="007E0947"/>
    <w:rsid w:val="007F799E"/>
    <w:rsid w:val="00842524"/>
    <w:rsid w:val="00842690"/>
    <w:rsid w:val="00852603"/>
    <w:rsid w:val="0088418E"/>
    <w:rsid w:val="008A3246"/>
    <w:rsid w:val="008A32E0"/>
    <w:rsid w:val="008B7C87"/>
    <w:rsid w:val="008C4779"/>
    <w:rsid w:val="008D1F1D"/>
    <w:rsid w:val="008E1072"/>
    <w:rsid w:val="00906503"/>
    <w:rsid w:val="00915C51"/>
    <w:rsid w:val="00960E3A"/>
    <w:rsid w:val="00983422"/>
    <w:rsid w:val="009B57FF"/>
    <w:rsid w:val="009F6F6B"/>
    <w:rsid w:val="00A1047B"/>
    <w:rsid w:val="00A34839"/>
    <w:rsid w:val="00A421CE"/>
    <w:rsid w:val="00A44E2A"/>
    <w:rsid w:val="00A82751"/>
    <w:rsid w:val="00A90297"/>
    <w:rsid w:val="00AB0FC9"/>
    <w:rsid w:val="00AE20D4"/>
    <w:rsid w:val="00B111AE"/>
    <w:rsid w:val="00B34B42"/>
    <w:rsid w:val="00B60703"/>
    <w:rsid w:val="00B62612"/>
    <w:rsid w:val="00B90196"/>
    <w:rsid w:val="00BA57D8"/>
    <w:rsid w:val="00BA6888"/>
    <w:rsid w:val="00BB2113"/>
    <w:rsid w:val="00BC3772"/>
    <w:rsid w:val="00C04714"/>
    <w:rsid w:val="00C23F41"/>
    <w:rsid w:val="00C24638"/>
    <w:rsid w:val="00C35443"/>
    <w:rsid w:val="00C44F13"/>
    <w:rsid w:val="00C52357"/>
    <w:rsid w:val="00C63EB0"/>
    <w:rsid w:val="00C66BA1"/>
    <w:rsid w:val="00C83B47"/>
    <w:rsid w:val="00CA72D0"/>
    <w:rsid w:val="00CD195E"/>
    <w:rsid w:val="00CE3F08"/>
    <w:rsid w:val="00CE622D"/>
    <w:rsid w:val="00CF317A"/>
    <w:rsid w:val="00CF619D"/>
    <w:rsid w:val="00D21413"/>
    <w:rsid w:val="00D229E5"/>
    <w:rsid w:val="00D550B5"/>
    <w:rsid w:val="00D630A5"/>
    <w:rsid w:val="00D63818"/>
    <w:rsid w:val="00D757CF"/>
    <w:rsid w:val="00D80005"/>
    <w:rsid w:val="00D83D3E"/>
    <w:rsid w:val="00D8683A"/>
    <w:rsid w:val="00D9546A"/>
    <w:rsid w:val="00D97426"/>
    <w:rsid w:val="00DB454B"/>
    <w:rsid w:val="00DC0CF3"/>
    <w:rsid w:val="00E0479F"/>
    <w:rsid w:val="00E10268"/>
    <w:rsid w:val="00E20054"/>
    <w:rsid w:val="00E346A2"/>
    <w:rsid w:val="00E45401"/>
    <w:rsid w:val="00E470A9"/>
    <w:rsid w:val="00E5416B"/>
    <w:rsid w:val="00E579CF"/>
    <w:rsid w:val="00E75B0C"/>
    <w:rsid w:val="00E765D2"/>
    <w:rsid w:val="00E85BFC"/>
    <w:rsid w:val="00E9345B"/>
    <w:rsid w:val="00EC0E2C"/>
    <w:rsid w:val="00ED777E"/>
    <w:rsid w:val="00EE0C6E"/>
    <w:rsid w:val="00EE765E"/>
    <w:rsid w:val="00EF1F17"/>
    <w:rsid w:val="00EF5E14"/>
    <w:rsid w:val="00F173EE"/>
    <w:rsid w:val="00F30875"/>
    <w:rsid w:val="00F3584D"/>
    <w:rsid w:val="00F35B6A"/>
    <w:rsid w:val="00F40B7A"/>
    <w:rsid w:val="00F4378E"/>
    <w:rsid w:val="00F51BB8"/>
    <w:rsid w:val="00F56811"/>
    <w:rsid w:val="00F968EE"/>
    <w:rsid w:val="00FA4A61"/>
    <w:rsid w:val="00FA5D5A"/>
    <w:rsid w:val="00FB2170"/>
    <w:rsid w:val="00FC463F"/>
    <w:rsid w:val="00FC77AB"/>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DD0A-08F3-442B-B669-9993F323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8</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11</cp:revision>
  <cp:lastPrinted>2023-08-05T07:24:00Z</cp:lastPrinted>
  <dcterms:created xsi:type="dcterms:W3CDTF">2023-08-06T10:01:00Z</dcterms:created>
  <dcterms:modified xsi:type="dcterms:W3CDTF">2023-08-07T15:57:00Z</dcterms:modified>
</cp:coreProperties>
</file>